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A50C35" w:rsidTr="00577B8F">
        <w:trPr>
          <w:trHeight w:val="10006"/>
        </w:trPr>
        <w:tc>
          <w:tcPr>
            <w:tcW w:w="10774"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w:t>
            </w:r>
            <w:r w:rsidR="002C25E9">
              <w:rPr>
                <w:rFonts w:ascii="Times New Roman" w:hAnsi="Times New Roman"/>
                <w:b/>
                <w:bCs/>
                <w:lang w:val="ru-RU"/>
              </w:rPr>
              <w:t>среда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830445">
              <w:rPr>
                <w:rFonts w:ascii="Times New Roman" w:hAnsi="Times New Roman"/>
                <w:b/>
                <w:bCs/>
                <w:lang w:val="ru-RU"/>
              </w:rPr>
              <w:t>13</w:t>
            </w:r>
            <w:r w:rsidR="00FF5A89">
              <w:rPr>
                <w:rFonts w:ascii="Times New Roman" w:hAnsi="Times New Roman"/>
                <w:b/>
                <w:bCs/>
                <w:lang w:val="ru-RU"/>
              </w:rPr>
              <w:t>.</w:t>
            </w:r>
            <w:r w:rsidR="00916753">
              <w:rPr>
                <w:rFonts w:ascii="Times New Roman" w:hAnsi="Times New Roman"/>
                <w:b/>
                <w:bCs/>
                <w:lang w:val="ru-RU"/>
              </w:rPr>
              <w:t>10.</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A50C35">
              <w:rPr>
                <w:rFonts w:ascii="Times New Roman" w:hAnsi="Times New Roman"/>
                <w:b/>
                <w:bCs/>
                <w:sz w:val="52"/>
                <w:szCs w:val="52"/>
                <w:lang w:val="ru-RU"/>
              </w:rPr>
              <w:t>31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281BEF" w:rsidRDefault="00281BEF" w:rsidP="00281BEF">
            <w:pPr>
              <w:jc w:val="center"/>
              <w:rPr>
                <w:rFonts w:ascii="Times New Roman" w:hAnsi="Times New Roman"/>
                <w:b/>
                <w:sz w:val="28"/>
                <w:szCs w:val="28"/>
                <w:lang w:val="ru-RU"/>
              </w:rPr>
            </w:pP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DA2D88"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830445" w:rsidRDefault="00830445" w:rsidP="00830445">
                  <w:pPr>
                    <w:shd w:val="clear" w:color="auto" w:fill="FFFFFF"/>
                    <w:spacing w:line="240" w:lineRule="exact"/>
                    <w:ind w:firstLine="567"/>
                    <w:jc w:val="center"/>
                    <w:rPr>
                      <w:rFonts w:ascii="Times New Roman" w:hAnsi="Times New Roman"/>
                      <w:b/>
                      <w:sz w:val="28"/>
                      <w:szCs w:val="28"/>
                      <w:lang w:val="ru-RU"/>
                    </w:rPr>
                  </w:pPr>
                </w:p>
                <w:p w:rsidR="00830445" w:rsidRDefault="00830445" w:rsidP="00830445">
                  <w:pPr>
                    <w:pStyle w:val="af3"/>
                    <w:shd w:val="clear" w:color="auto" w:fill="FFFFFF"/>
                    <w:spacing w:before="0" w:beforeAutospacing="0" w:after="0" w:afterAutospacing="0"/>
                    <w:jc w:val="center"/>
                  </w:pPr>
                  <w:r>
                    <w:t>Прокуратура Убинского района разъясняет:</w:t>
                  </w:r>
                </w:p>
                <w:p w:rsidR="00830445" w:rsidRDefault="00830445" w:rsidP="00830445">
                  <w:pPr>
                    <w:shd w:val="clear" w:color="auto" w:fill="FFFFFF"/>
                    <w:spacing w:line="240" w:lineRule="exact"/>
                    <w:ind w:firstLine="567"/>
                    <w:jc w:val="center"/>
                    <w:rPr>
                      <w:rFonts w:ascii="Times New Roman" w:hAnsi="Times New Roman"/>
                      <w:b/>
                      <w:sz w:val="28"/>
                      <w:szCs w:val="28"/>
                      <w:lang w:val="ru-RU"/>
                    </w:rPr>
                  </w:pPr>
                </w:p>
                <w:p w:rsidR="00117E22" w:rsidRPr="00830445" w:rsidRDefault="00117E22" w:rsidP="00DA2D88">
                  <w:pPr>
                    <w:pStyle w:val="af0"/>
                    <w:spacing w:line="240" w:lineRule="exact"/>
                    <w:rPr>
                      <w:rFonts w:ascii="Times New Roman" w:hAnsi="Times New Roman"/>
                      <w:sz w:val="28"/>
                      <w:szCs w:val="28"/>
                      <w:vertAlign w:val="superscript"/>
                      <w:lang w:val="ru-RU"/>
                    </w:rPr>
                  </w:pPr>
                </w:p>
              </w:tc>
            </w:tr>
            <w:tr w:rsidR="00117E22" w:rsidRPr="00DA2D88" w:rsidTr="0044077D">
              <w:tc>
                <w:tcPr>
                  <w:tcW w:w="236" w:type="dxa"/>
                </w:tcPr>
                <w:p w:rsidR="00117E22" w:rsidRPr="00830445" w:rsidRDefault="00117E22" w:rsidP="00117E22">
                  <w:pPr>
                    <w:rPr>
                      <w:rFonts w:ascii="Times New Roman" w:hAnsi="Times New Roman"/>
                      <w:sz w:val="28"/>
                      <w:szCs w:val="28"/>
                      <w:lang w:val="ru-RU"/>
                    </w:rPr>
                  </w:pPr>
                </w:p>
              </w:tc>
              <w:tc>
                <w:tcPr>
                  <w:tcW w:w="10207" w:type="dxa"/>
                </w:tcPr>
                <w:p w:rsidR="00BA2007" w:rsidRPr="00830445" w:rsidRDefault="00BA2007" w:rsidP="00117E22">
                  <w:pPr>
                    <w:jc w:val="right"/>
                    <w:rPr>
                      <w:rFonts w:ascii="Times New Roman" w:hAnsi="Times New Roman"/>
                      <w:sz w:val="28"/>
                      <w:szCs w:val="28"/>
                      <w:lang w:val="ru-RU"/>
                    </w:rPr>
                  </w:pPr>
                </w:p>
              </w:tc>
            </w:tr>
            <w:tr w:rsidR="00117E22" w:rsidRPr="00A50C35" w:rsidTr="0044077D">
              <w:trPr>
                <w:trHeight w:val="374"/>
              </w:trPr>
              <w:tc>
                <w:tcPr>
                  <w:tcW w:w="236" w:type="dxa"/>
                </w:tcPr>
                <w:p w:rsidR="00117E22" w:rsidRPr="00830445" w:rsidRDefault="00117E22" w:rsidP="00117E22">
                  <w:pPr>
                    <w:rPr>
                      <w:rFonts w:ascii="Times New Roman" w:hAnsi="Times New Roman"/>
                      <w:sz w:val="28"/>
                      <w:szCs w:val="28"/>
                      <w:lang w:val="ru-RU"/>
                    </w:rPr>
                  </w:pPr>
                </w:p>
              </w:tc>
              <w:tc>
                <w:tcPr>
                  <w:tcW w:w="10207" w:type="dxa"/>
                </w:tcPr>
                <w:p w:rsidR="00A50C35" w:rsidRPr="00A50C35" w:rsidRDefault="00A50C35" w:rsidP="00A50C35">
                  <w:pPr>
                    <w:spacing w:line="240" w:lineRule="exact"/>
                    <w:jc w:val="center"/>
                    <w:rPr>
                      <w:rFonts w:ascii="Times New Roman" w:hAnsi="Times New Roman"/>
                      <w:b/>
                      <w:sz w:val="28"/>
                      <w:szCs w:val="28"/>
                      <w:lang w:val="ru-RU"/>
                    </w:rPr>
                  </w:pPr>
                  <w:r w:rsidRPr="00A50C35">
                    <w:rPr>
                      <w:rFonts w:ascii="Times New Roman" w:hAnsi="Times New Roman"/>
                      <w:b/>
                      <w:sz w:val="28"/>
                      <w:szCs w:val="28"/>
                      <w:lang w:val="ru-RU"/>
                    </w:rPr>
                    <w:t xml:space="preserve">Результаты работы прокуратуры района по проведению </w:t>
                  </w:r>
                  <w:proofErr w:type="spellStart"/>
                  <w:r w:rsidRPr="00A50C35">
                    <w:rPr>
                      <w:rFonts w:ascii="Times New Roman" w:hAnsi="Times New Roman"/>
                      <w:b/>
                      <w:sz w:val="28"/>
                      <w:szCs w:val="28"/>
                      <w:lang w:val="ru-RU"/>
                    </w:rPr>
                    <w:t>антикоррупцтонной</w:t>
                  </w:r>
                  <w:proofErr w:type="spellEnd"/>
                  <w:r w:rsidRPr="00A50C35">
                    <w:rPr>
                      <w:rFonts w:ascii="Times New Roman" w:hAnsi="Times New Roman"/>
                      <w:b/>
                      <w:sz w:val="28"/>
                      <w:szCs w:val="28"/>
                      <w:lang w:val="ru-RU"/>
                    </w:rPr>
                    <w:t xml:space="preserve"> экспертизы нормативных правовых </w:t>
                  </w:r>
                  <w:bookmarkStart w:id="0" w:name="_GoBack"/>
                  <w:bookmarkEnd w:id="0"/>
                  <w:r w:rsidRPr="00A50C35">
                    <w:rPr>
                      <w:rFonts w:ascii="Times New Roman" w:hAnsi="Times New Roman"/>
                      <w:b/>
                      <w:sz w:val="28"/>
                      <w:szCs w:val="28"/>
                      <w:lang w:val="ru-RU"/>
                    </w:rPr>
                    <w:t>актов органов местного самоуправления района за 9 месяцев 2021 года</w:t>
                  </w:r>
                </w:p>
                <w:p w:rsidR="00A50C35" w:rsidRPr="00A50C35" w:rsidRDefault="00A50C35" w:rsidP="00A50C35">
                  <w:pPr>
                    <w:ind w:firstLine="567"/>
                    <w:jc w:val="both"/>
                    <w:rPr>
                      <w:rFonts w:ascii="Times New Roman" w:hAnsi="Times New Roman"/>
                      <w:sz w:val="28"/>
                      <w:szCs w:val="28"/>
                      <w:lang w:val="ru-RU"/>
                    </w:rPr>
                  </w:pPr>
                </w:p>
                <w:p w:rsidR="00A50C35" w:rsidRPr="00A50C35" w:rsidRDefault="00A50C35" w:rsidP="00A50C35">
                  <w:pPr>
                    <w:pStyle w:val="23"/>
                    <w:ind w:firstLine="708"/>
                    <w:rPr>
                      <w:rFonts w:ascii="Times New Roman" w:hAnsi="Times New Roman"/>
                      <w:i/>
                      <w:sz w:val="28"/>
                      <w:szCs w:val="28"/>
                      <w:lang w:val="ru-RU"/>
                    </w:rPr>
                  </w:pPr>
                  <w:r w:rsidRPr="00A50C35">
                    <w:rPr>
                      <w:rFonts w:ascii="Times New Roman" w:hAnsi="Times New Roman"/>
                      <w:i/>
                      <w:sz w:val="28"/>
                      <w:szCs w:val="28"/>
                      <w:lang w:val="ru-RU"/>
                    </w:rPr>
                    <w:t xml:space="preserve">За 9 месяцев 2021 года работниками прокуратуры изучены на наличие </w:t>
                  </w:r>
                  <w:proofErr w:type="spellStart"/>
                  <w:r w:rsidRPr="00A50C35">
                    <w:rPr>
                      <w:rFonts w:ascii="Times New Roman" w:hAnsi="Times New Roman"/>
                      <w:i/>
                      <w:sz w:val="28"/>
                      <w:szCs w:val="28"/>
                      <w:lang w:val="ru-RU"/>
                    </w:rPr>
                    <w:t>коррупциогенных</w:t>
                  </w:r>
                  <w:proofErr w:type="spellEnd"/>
                  <w:r w:rsidRPr="00A50C35">
                    <w:rPr>
                      <w:rFonts w:ascii="Times New Roman" w:hAnsi="Times New Roman"/>
                      <w:i/>
                      <w:sz w:val="28"/>
                      <w:szCs w:val="28"/>
                      <w:lang w:val="ru-RU"/>
                    </w:rPr>
                    <w:t xml:space="preserve"> факторов 566 (АППГ-496) нормативных правовых акта органов местного самоуправления Убинского района Новосибирской области. </w:t>
                  </w:r>
                </w:p>
                <w:p w:rsidR="00A50C35" w:rsidRPr="00A50C35" w:rsidRDefault="00A50C35" w:rsidP="00A50C35">
                  <w:pPr>
                    <w:pStyle w:val="af0"/>
                    <w:ind w:firstLine="709"/>
                    <w:rPr>
                      <w:rFonts w:ascii="Times New Roman" w:hAnsi="Times New Roman"/>
                      <w:sz w:val="28"/>
                      <w:szCs w:val="28"/>
                      <w:lang w:val="ru-RU"/>
                    </w:rPr>
                  </w:pPr>
                  <w:r w:rsidRPr="00A50C35">
                    <w:rPr>
                      <w:rFonts w:ascii="Times New Roman" w:hAnsi="Times New Roman"/>
                      <w:sz w:val="28"/>
                      <w:szCs w:val="28"/>
                      <w:lang w:val="ru-RU"/>
                    </w:rPr>
                    <w:t xml:space="preserve">В ходе осуществления проверки нормативных правовых актов органов местного самоуправления, выявлено 20 (АППГ - 33) нормативных правовых актов в которых имелось 20 (АППГ - 44) </w:t>
                  </w:r>
                  <w:proofErr w:type="spellStart"/>
                  <w:r w:rsidRPr="00A50C35">
                    <w:rPr>
                      <w:rFonts w:ascii="Times New Roman" w:hAnsi="Times New Roman"/>
                      <w:sz w:val="28"/>
                      <w:szCs w:val="28"/>
                      <w:lang w:val="ru-RU"/>
                    </w:rPr>
                    <w:t>коррупциогенных</w:t>
                  </w:r>
                  <w:proofErr w:type="spellEnd"/>
                  <w:r w:rsidRPr="00A50C35">
                    <w:rPr>
                      <w:rFonts w:ascii="Times New Roman" w:hAnsi="Times New Roman"/>
                      <w:sz w:val="28"/>
                      <w:szCs w:val="28"/>
                      <w:lang w:val="ru-RU"/>
                    </w:rPr>
                    <w:t xml:space="preserve"> факторов.</w:t>
                  </w:r>
                </w:p>
                <w:p w:rsidR="00A50C35" w:rsidRPr="00A50C35" w:rsidRDefault="00A50C35" w:rsidP="00A50C35">
                  <w:pPr>
                    <w:ind w:firstLine="708"/>
                    <w:jc w:val="both"/>
                    <w:rPr>
                      <w:rFonts w:ascii="Times New Roman" w:hAnsi="Times New Roman"/>
                      <w:sz w:val="28"/>
                      <w:szCs w:val="28"/>
                      <w:lang w:val="ru-RU"/>
                    </w:rPr>
                  </w:pPr>
                  <w:r w:rsidRPr="00A50C35">
                    <w:rPr>
                      <w:rFonts w:ascii="Times New Roman" w:eastAsia="Arial" w:hAnsi="Times New Roman"/>
                      <w:sz w:val="28"/>
                      <w:szCs w:val="28"/>
                      <w:lang w:val="ru-RU"/>
                    </w:rPr>
                    <w:t>Так, в</w:t>
                  </w:r>
                  <w:r w:rsidRPr="00A50C35">
                    <w:rPr>
                      <w:rFonts w:ascii="Times New Roman" w:hAnsi="Times New Roman"/>
                      <w:bCs/>
                      <w:kern w:val="36"/>
                      <w:sz w:val="28"/>
                      <w:szCs w:val="28"/>
                      <w:lang w:val="ru-RU"/>
                    </w:rPr>
                    <w:t xml:space="preserve"> апреле 2021 года прокуратурой района проведена оценка муниципальных нормативных правовых актов </w:t>
                  </w:r>
                  <w:r w:rsidRPr="00A50C35">
                    <w:rPr>
                      <w:rFonts w:ascii="Times New Roman" w:hAnsi="Times New Roman"/>
                      <w:sz w:val="28"/>
                      <w:szCs w:val="28"/>
                      <w:lang w:val="ru-RU"/>
                    </w:rPr>
                    <w:t>в сфере организации и осуществлении первичного воинского учета граждан.</w:t>
                  </w:r>
                </w:p>
                <w:p w:rsidR="00A50C35" w:rsidRPr="00A50C35" w:rsidRDefault="00A50C35" w:rsidP="00A50C35">
                  <w:pPr>
                    <w:ind w:firstLine="709"/>
                    <w:jc w:val="both"/>
                    <w:rPr>
                      <w:rFonts w:ascii="Times New Roman" w:hAnsi="Times New Roman"/>
                      <w:color w:val="000000"/>
                      <w:sz w:val="28"/>
                      <w:szCs w:val="28"/>
                      <w:lang w:val="ru-RU"/>
                    </w:rPr>
                  </w:pPr>
                  <w:proofErr w:type="gramStart"/>
                  <w:r w:rsidRPr="00A50C35">
                    <w:rPr>
                      <w:rFonts w:ascii="Times New Roman" w:hAnsi="Times New Roman"/>
                      <w:bCs/>
                      <w:kern w:val="36"/>
                      <w:sz w:val="28"/>
                      <w:szCs w:val="28"/>
                      <w:lang w:val="ru-RU"/>
                    </w:rPr>
                    <w:t xml:space="preserve">Проверкой установлено, что 16 муниципальными образованиями района приняты </w:t>
                  </w:r>
                  <w:r w:rsidRPr="00A50C35">
                    <w:rPr>
                      <w:rFonts w:ascii="Times New Roman" w:hAnsi="Times New Roman"/>
                      <w:sz w:val="28"/>
                      <w:szCs w:val="28"/>
                      <w:lang w:val="ru-RU"/>
                    </w:rPr>
                    <w:t>положения об организации и осуществлении первичного воинского учета граждан на их территории, которые противоречат требованиям</w:t>
                  </w:r>
                  <w:r w:rsidRPr="00A50C35">
                    <w:rPr>
                      <w:rFonts w:ascii="Times New Roman" w:hAnsi="Times New Roman"/>
                      <w:color w:val="000000"/>
                      <w:sz w:val="28"/>
                      <w:szCs w:val="28"/>
                      <w:lang w:val="ru-RU"/>
                    </w:rPr>
                    <w:t xml:space="preserve"> статьи 8 Федерального закона от 28.03.1998 № 53-ФЗ «О воинской обязанности и военной службе», статьи 6 Федерального закона от 31.05.1996 № 61-ФЗ «Об обороне», постановлению Правительства Российской Федерации от 27.11.2006 № 719 «Об утверждении положения о воинском учете», а именно</w:t>
                  </w:r>
                  <w:proofErr w:type="gramEnd"/>
                  <w:r w:rsidRPr="00A50C35">
                    <w:rPr>
                      <w:rFonts w:ascii="Times New Roman" w:hAnsi="Times New Roman"/>
                      <w:color w:val="000000"/>
                      <w:sz w:val="28"/>
                      <w:szCs w:val="28"/>
                      <w:lang w:val="ru-RU"/>
                    </w:rPr>
                    <w:t xml:space="preserve"> в нарушение указанных норм утверждение положения об организации и осуществлении первичного воинского учета граждан не относится к компетенции органов местного самоуправления.</w:t>
                  </w:r>
                </w:p>
                <w:p w:rsidR="00A50C35" w:rsidRPr="00A50C35" w:rsidRDefault="00A50C35" w:rsidP="00A50C35">
                  <w:pPr>
                    <w:ind w:firstLine="709"/>
                    <w:jc w:val="both"/>
                    <w:rPr>
                      <w:rFonts w:ascii="Times New Roman" w:hAnsi="Times New Roman"/>
                      <w:sz w:val="28"/>
                      <w:szCs w:val="28"/>
                      <w:lang w:val="ru-RU"/>
                    </w:rPr>
                  </w:pPr>
                  <w:proofErr w:type="gramStart"/>
                  <w:r w:rsidRPr="00A50C35">
                    <w:rPr>
                      <w:rFonts w:ascii="Times New Roman" w:hAnsi="Times New Roman"/>
                      <w:sz w:val="28"/>
                      <w:szCs w:val="28"/>
                      <w:lang w:val="ru-RU"/>
                    </w:rPr>
                    <w:lastRenderedPageBreak/>
                    <w:t xml:space="preserve">При таких обстоятельствах в указанных нормативных правовых актах содержится </w:t>
                  </w:r>
                  <w:proofErr w:type="spellStart"/>
                  <w:r w:rsidRPr="00A50C35">
                    <w:rPr>
                      <w:rFonts w:ascii="Times New Roman" w:hAnsi="Times New Roman"/>
                      <w:sz w:val="28"/>
                      <w:szCs w:val="28"/>
                      <w:lang w:val="ru-RU"/>
                    </w:rPr>
                    <w:t>коррупциогенный</w:t>
                  </w:r>
                  <w:proofErr w:type="spellEnd"/>
                  <w:r w:rsidRPr="00A50C35">
                    <w:rPr>
                      <w:rFonts w:ascii="Times New Roman" w:hAnsi="Times New Roman"/>
                      <w:sz w:val="28"/>
                      <w:szCs w:val="28"/>
                      <w:lang w:val="ru-RU"/>
                    </w:rPr>
                    <w:t xml:space="preserve"> фактор, предусмотренный подпунктом «д» п. 3 Методики проведения антикоррупционной экспертизы нормативных – правовых актов и проектов нормативных правовых актов, утвержденной  постановлением Правительства Российской Федерации от 26.02.2010  № 96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roofErr w:type="gramEnd"/>
                  <w:r w:rsidRPr="00A50C35">
                    <w:rPr>
                      <w:rFonts w:ascii="Times New Roman" w:hAnsi="Times New Roman"/>
                      <w:sz w:val="28"/>
                      <w:szCs w:val="28"/>
                      <w:lang w:val="ru-RU"/>
                    </w:rPr>
                    <w:t xml:space="preserve">, является </w:t>
                  </w:r>
                  <w:proofErr w:type="spellStart"/>
                  <w:r w:rsidRPr="00A50C35">
                    <w:rPr>
                      <w:rFonts w:ascii="Times New Roman" w:hAnsi="Times New Roman"/>
                      <w:sz w:val="28"/>
                      <w:szCs w:val="28"/>
                      <w:lang w:val="ru-RU"/>
                    </w:rPr>
                    <w:t>коррупциогенным</w:t>
                  </w:r>
                  <w:proofErr w:type="spellEnd"/>
                  <w:r w:rsidRPr="00A50C35">
                    <w:rPr>
                      <w:rFonts w:ascii="Times New Roman" w:hAnsi="Times New Roman"/>
                      <w:sz w:val="28"/>
                      <w:szCs w:val="28"/>
                      <w:lang w:val="ru-RU"/>
                    </w:rPr>
                    <w:t xml:space="preserve"> фактором, устанавливающим для </w:t>
                  </w:r>
                  <w:proofErr w:type="spellStart"/>
                  <w:r w:rsidRPr="00A50C35">
                    <w:rPr>
                      <w:rFonts w:ascii="Times New Roman" w:hAnsi="Times New Roman"/>
                      <w:sz w:val="28"/>
                      <w:szCs w:val="28"/>
                      <w:lang w:val="ru-RU"/>
                    </w:rPr>
                    <w:t>правоприменителя</w:t>
                  </w:r>
                  <w:proofErr w:type="spellEnd"/>
                  <w:r w:rsidRPr="00A50C35">
                    <w:rPr>
                      <w:rFonts w:ascii="Times New Roman" w:hAnsi="Times New Roman"/>
                      <w:sz w:val="28"/>
                      <w:szCs w:val="28"/>
                      <w:lang w:val="ru-RU"/>
                    </w:rPr>
                    <w:t xml:space="preserve"> необоснованно широкие пределы усмотрения или возможность необоснованного применения исключений из общих правил.</w:t>
                  </w:r>
                </w:p>
                <w:p w:rsidR="00A50C35" w:rsidRPr="00A50C35" w:rsidRDefault="00A50C35" w:rsidP="00A50C35">
                  <w:pPr>
                    <w:shd w:val="clear" w:color="auto" w:fill="FFFFFF"/>
                    <w:ind w:firstLine="709"/>
                    <w:jc w:val="both"/>
                    <w:outlineLvl w:val="0"/>
                    <w:rPr>
                      <w:rFonts w:ascii="Times New Roman" w:hAnsi="Times New Roman"/>
                      <w:bCs/>
                      <w:kern w:val="36"/>
                      <w:sz w:val="28"/>
                      <w:szCs w:val="28"/>
                      <w:lang w:val="ru-RU"/>
                    </w:rPr>
                  </w:pPr>
                  <w:r w:rsidRPr="00A50C35">
                    <w:rPr>
                      <w:rFonts w:ascii="Times New Roman" w:hAnsi="Times New Roman"/>
                      <w:bCs/>
                      <w:kern w:val="36"/>
                      <w:sz w:val="28"/>
                      <w:szCs w:val="28"/>
                      <w:lang w:val="ru-RU"/>
                    </w:rPr>
                    <w:t>По факту выявленных нарушений прокуратурой района на 16 нормативных правовых актов органов местного самоуправления было принесено 16 протестов. На отчетную дату протесты рассмотрены, требования прокурора удовлетворены.</w:t>
                  </w:r>
                </w:p>
                <w:p w:rsidR="00A50C35" w:rsidRPr="00A50C35" w:rsidRDefault="00A50C35" w:rsidP="00A50C35">
                  <w:pPr>
                    <w:ind w:firstLine="708"/>
                    <w:jc w:val="both"/>
                    <w:rPr>
                      <w:rFonts w:ascii="Times New Roman" w:hAnsi="Times New Roman"/>
                      <w:sz w:val="28"/>
                      <w:szCs w:val="28"/>
                      <w:lang w:val="ru-RU"/>
                    </w:rPr>
                  </w:pPr>
                  <w:r w:rsidRPr="00A50C35">
                    <w:rPr>
                      <w:rFonts w:ascii="Times New Roman" w:eastAsia="Arial" w:hAnsi="Times New Roman"/>
                      <w:sz w:val="28"/>
                      <w:szCs w:val="28"/>
                      <w:lang w:val="ru-RU"/>
                    </w:rPr>
                    <w:t>Кроме этого, в</w:t>
                  </w:r>
                  <w:r w:rsidRPr="00A50C35">
                    <w:rPr>
                      <w:rFonts w:ascii="Times New Roman" w:hAnsi="Times New Roman"/>
                      <w:bCs/>
                      <w:kern w:val="36"/>
                      <w:sz w:val="28"/>
                      <w:szCs w:val="28"/>
                      <w:lang w:val="ru-RU"/>
                    </w:rPr>
                    <w:t xml:space="preserve"> сентябре 2021 года прокуратурой района проведена оценка муниципальных нормативных правовых актов, которыми утверждены </w:t>
                  </w:r>
                  <w:r w:rsidRPr="00A50C35">
                    <w:rPr>
                      <w:rFonts w:ascii="Times New Roman" w:hAnsi="Times New Roman"/>
                      <w:sz w:val="28"/>
                      <w:szCs w:val="28"/>
                      <w:lang w:val="ru-RU"/>
                    </w:rPr>
                    <w:t>административные регламенты предоставления муниципальной услуги по выдаче сведений из реестра муниципального имущества.</w:t>
                  </w:r>
                </w:p>
                <w:p w:rsidR="00A50C35" w:rsidRPr="00A50C35" w:rsidRDefault="00A50C35" w:rsidP="00A50C35">
                  <w:pPr>
                    <w:ind w:firstLine="709"/>
                    <w:jc w:val="both"/>
                    <w:rPr>
                      <w:rFonts w:ascii="Times New Roman" w:hAnsi="Times New Roman"/>
                      <w:sz w:val="28"/>
                      <w:szCs w:val="28"/>
                      <w:lang w:val="ru-RU"/>
                    </w:rPr>
                  </w:pPr>
                  <w:proofErr w:type="gramStart"/>
                  <w:r w:rsidRPr="00A50C35">
                    <w:rPr>
                      <w:rFonts w:ascii="Times New Roman" w:hAnsi="Times New Roman"/>
                      <w:bCs/>
                      <w:kern w:val="36"/>
                      <w:sz w:val="28"/>
                      <w:szCs w:val="28"/>
                      <w:lang w:val="ru-RU"/>
                    </w:rPr>
                    <w:t xml:space="preserve">Проверкой установлено, что 3 муниципальными образованиями района приняты </w:t>
                  </w:r>
                  <w:r w:rsidRPr="00A50C35">
                    <w:rPr>
                      <w:rFonts w:ascii="Times New Roman" w:hAnsi="Times New Roman"/>
                      <w:sz w:val="28"/>
                      <w:szCs w:val="28"/>
                      <w:lang w:val="ru-RU"/>
                    </w:rPr>
                    <w:t>административные регламенты предоставления муниципальной услуги по выдаче сведений из реестра муниципального имущества, которые противоречат требованиям</w:t>
                  </w:r>
                  <w:r w:rsidRPr="00A50C35">
                    <w:rPr>
                      <w:rFonts w:ascii="Times New Roman" w:hAnsi="Times New Roman"/>
                      <w:color w:val="000000"/>
                      <w:sz w:val="28"/>
                      <w:szCs w:val="28"/>
                      <w:lang w:val="ru-RU"/>
                    </w:rPr>
                    <w:t xml:space="preserve"> ст</w:t>
                  </w:r>
                  <w:r w:rsidRPr="00A50C35">
                    <w:rPr>
                      <w:rFonts w:ascii="Times New Roman" w:hAnsi="Times New Roman"/>
                      <w:sz w:val="28"/>
                      <w:szCs w:val="28"/>
                      <w:lang w:val="ru-RU"/>
                    </w:rPr>
                    <w:t xml:space="preserve">.5 ст.51 Федерального закона от 06.10.2003 № 131-ФЗ «Об общих принципах организации местного самоуправления в Российской Федерации», </w:t>
                  </w:r>
                  <w:r w:rsidRPr="00A50C35">
                    <w:rPr>
                      <w:rFonts w:ascii="Times New Roman" w:eastAsia="Calibri" w:hAnsi="Times New Roman"/>
                      <w:sz w:val="28"/>
                      <w:szCs w:val="28"/>
                      <w:lang w:val="ru-RU"/>
                    </w:rPr>
                    <w:t>пункта 2.4.1</w:t>
                  </w:r>
                  <w:r w:rsidRPr="00A50C35">
                    <w:rPr>
                      <w:rFonts w:ascii="Times New Roman" w:hAnsi="Times New Roman"/>
                      <w:sz w:val="28"/>
                      <w:szCs w:val="28"/>
                      <w:lang w:val="ru-RU"/>
                    </w:rPr>
                    <w:t xml:space="preserve"> Порядка ведения органами местного самоуправления реестров муниципального имущества, утвержденного Приказом Минэкономразвития России от 30.08.2011 № 424</w:t>
                  </w:r>
                  <w:r w:rsidRPr="00A50C35">
                    <w:rPr>
                      <w:rFonts w:ascii="Times New Roman" w:hAnsi="Times New Roman"/>
                      <w:color w:val="000000"/>
                      <w:sz w:val="28"/>
                      <w:szCs w:val="28"/>
                      <w:lang w:val="ru-RU"/>
                    </w:rPr>
                    <w:t>, а именно</w:t>
                  </w:r>
                  <w:proofErr w:type="gramEnd"/>
                  <w:r w:rsidRPr="00A50C35">
                    <w:rPr>
                      <w:rFonts w:ascii="Times New Roman" w:hAnsi="Times New Roman"/>
                      <w:color w:val="000000"/>
                      <w:sz w:val="28"/>
                      <w:szCs w:val="28"/>
                      <w:lang w:val="ru-RU"/>
                    </w:rPr>
                    <w:t xml:space="preserve"> в нарушение указанных норм </w:t>
                  </w:r>
                  <w:r w:rsidRPr="00A50C35">
                    <w:rPr>
                      <w:rFonts w:ascii="Times New Roman" w:hAnsi="Times New Roman"/>
                      <w:sz w:val="28"/>
                      <w:szCs w:val="28"/>
                      <w:lang w:val="ru-RU"/>
                    </w:rPr>
                    <w:t>предусматривает срок предоставления муниципальной услуги 30 календарных дней со дня регистрации заявления в администрации, а не 10 дней как это установлено</w:t>
                  </w:r>
                  <w:r w:rsidRPr="00A50C35">
                    <w:rPr>
                      <w:rFonts w:ascii="Times New Roman" w:eastAsia="Calibri" w:hAnsi="Times New Roman"/>
                      <w:sz w:val="28"/>
                      <w:szCs w:val="28"/>
                      <w:lang w:val="ru-RU"/>
                    </w:rPr>
                    <w:t xml:space="preserve"> пунктом 2.4.1</w:t>
                  </w:r>
                  <w:r w:rsidRPr="00A50C35">
                    <w:rPr>
                      <w:rFonts w:ascii="Times New Roman" w:hAnsi="Times New Roman"/>
                      <w:sz w:val="28"/>
                      <w:szCs w:val="28"/>
                      <w:lang w:val="ru-RU"/>
                    </w:rPr>
                    <w:t xml:space="preserve"> Порядка ведения органами местного самоуправления реестров муниципального имущества, утвержденного Приказом Минэкономразвития России от 30.08.2011 № 424.</w:t>
                  </w:r>
                </w:p>
                <w:p w:rsidR="00A50C35" w:rsidRPr="00A50C35" w:rsidRDefault="00A50C35" w:rsidP="00A50C35">
                  <w:pPr>
                    <w:autoSpaceDE w:val="0"/>
                    <w:autoSpaceDN w:val="0"/>
                    <w:adjustRightInd w:val="0"/>
                    <w:ind w:firstLine="709"/>
                    <w:jc w:val="both"/>
                    <w:rPr>
                      <w:rFonts w:ascii="Times New Roman" w:hAnsi="Times New Roman"/>
                      <w:sz w:val="28"/>
                      <w:szCs w:val="28"/>
                      <w:lang w:val="ru-RU"/>
                    </w:rPr>
                  </w:pPr>
                  <w:r w:rsidRPr="00A50C35">
                    <w:rPr>
                      <w:rFonts w:ascii="Times New Roman" w:hAnsi="Times New Roman"/>
                      <w:sz w:val="28"/>
                      <w:szCs w:val="28"/>
                      <w:lang w:val="ru-RU"/>
                    </w:rPr>
                    <w:t xml:space="preserve">Таким образом, положениями Регламентов были увеличены сроки предоставления муниципальной услуги, что является </w:t>
                  </w:r>
                  <w:proofErr w:type="spellStart"/>
                  <w:r w:rsidRPr="00A50C35">
                    <w:rPr>
                      <w:rFonts w:ascii="Times New Roman" w:hAnsi="Times New Roman"/>
                      <w:sz w:val="28"/>
                      <w:szCs w:val="28"/>
                      <w:lang w:val="ru-RU"/>
                    </w:rPr>
                    <w:t>коррупциогенным</w:t>
                  </w:r>
                  <w:proofErr w:type="spellEnd"/>
                  <w:r w:rsidRPr="00A50C35">
                    <w:rPr>
                      <w:rFonts w:ascii="Times New Roman" w:hAnsi="Times New Roman"/>
                      <w:sz w:val="28"/>
                      <w:szCs w:val="28"/>
                      <w:lang w:val="ru-RU"/>
                    </w:rPr>
                    <w:t xml:space="preserve"> проявлением, связанным с увеличением продолжительности сроков и широким периодом времени принятия решений. </w:t>
                  </w:r>
                </w:p>
                <w:p w:rsidR="00A50C35" w:rsidRPr="00A50C35" w:rsidRDefault="00A50C35" w:rsidP="00A50C35">
                  <w:pPr>
                    <w:ind w:firstLine="709"/>
                    <w:jc w:val="both"/>
                    <w:rPr>
                      <w:rFonts w:ascii="Times New Roman" w:hAnsi="Times New Roman"/>
                      <w:sz w:val="28"/>
                      <w:szCs w:val="28"/>
                      <w:lang w:val="ru-RU"/>
                    </w:rPr>
                  </w:pPr>
                  <w:proofErr w:type="gramStart"/>
                  <w:r w:rsidRPr="00A50C35">
                    <w:rPr>
                      <w:rFonts w:ascii="Times New Roman" w:hAnsi="Times New Roman"/>
                      <w:sz w:val="28"/>
                      <w:szCs w:val="28"/>
                      <w:lang w:val="ru-RU"/>
                    </w:rPr>
                    <w:t xml:space="preserve">При таких обстоятельствах в указанных нормативных правовых актах содержится </w:t>
                  </w:r>
                  <w:proofErr w:type="spellStart"/>
                  <w:r w:rsidRPr="00A50C35">
                    <w:rPr>
                      <w:rFonts w:ascii="Times New Roman" w:hAnsi="Times New Roman"/>
                      <w:sz w:val="28"/>
                      <w:szCs w:val="28"/>
                      <w:lang w:val="ru-RU"/>
                    </w:rPr>
                    <w:t>коррупциогенный</w:t>
                  </w:r>
                  <w:proofErr w:type="spellEnd"/>
                  <w:r w:rsidRPr="00A50C35">
                    <w:rPr>
                      <w:rFonts w:ascii="Times New Roman" w:hAnsi="Times New Roman"/>
                      <w:sz w:val="28"/>
                      <w:szCs w:val="28"/>
                      <w:lang w:val="ru-RU"/>
                    </w:rPr>
                    <w:t xml:space="preserve"> фактор, предусмотренный подпунктом </w:t>
                  </w:r>
                  <w:proofErr w:type="spellStart"/>
                  <w:r w:rsidRPr="00A50C35">
                    <w:rPr>
                      <w:rFonts w:ascii="Times New Roman" w:hAnsi="Times New Roman"/>
                      <w:sz w:val="28"/>
                      <w:szCs w:val="28"/>
                      <w:lang w:val="ru-RU"/>
                    </w:rPr>
                    <w:t>п.п</w:t>
                  </w:r>
                  <w:proofErr w:type="spellEnd"/>
                  <w:r w:rsidRPr="00A50C35">
                    <w:rPr>
                      <w:rFonts w:ascii="Times New Roman" w:hAnsi="Times New Roman"/>
                      <w:sz w:val="28"/>
                      <w:szCs w:val="28"/>
                      <w:lang w:val="ru-RU"/>
                    </w:rPr>
                    <w:t>. «а» п.3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№96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w:t>
                  </w:r>
                  <w:proofErr w:type="gramEnd"/>
                  <w:r w:rsidRPr="00A50C35">
                    <w:rPr>
                      <w:rFonts w:ascii="Times New Roman" w:hAnsi="Times New Roman"/>
                      <w:sz w:val="28"/>
                      <w:szCs w:val="28"/>
                      <w:lang w:val="ru-RU"/>
                    </w:rPr>
                    <w:t xml:space="preserve"> должностных лиц).</w:t>
                  </w:r>
                </w:p>
                <w:p w:rsidR="00A50C35" w:rsidRPr="00A50C35" w:rsidRDefault="00A50C35" w:rsidP="00A50C35">
                  <w:pPr>
                    <w:shd w:val="clear" w:color="auto" w:fill="FFFFFF"/>
                    <w:ind w:firstLine="709"/>
                    <w:jc w:val="both"/>
                    <w:outlineLvl w:val="0"/>
                    <w:rPr>
                      <w:rFonts w:ascii="Times New Roman" w:hAnsi="Times New Roman"/>
                      <w:bCs/>
                      <w:kern w:val="36"/>
                      <w:sz w:val="28"/>
                      <w:szCs w:val="28"/>
                      <w:lang w:val="ru-RU"/>
                    </w:rPr>
                  </w:pPr>
                  <w:r w:rsidRPr="00A50C35">
                    <w:rPr>
                      <w:rFonts w:ascii="Times New Roman" w:hAnsi="Times New Roman"/>
                      <w:bCs/>
                      <w:kern w:val="36"/>
                      <w:sz w:val="28"/>
                      <w:szCs w:val="28"/>
                      <w:lang w:val="ru-RU"/>
                    </w:rPr>
                    <w:t>По факту выявленных нарушений прокуратурой района на 3 нормативных правовых акта органов местного самоуправления было принесено 3 протеста. На отчетную дату протесты находятся в стадии рассмотрения.</w:t>
                  </w:r>
                </w:p>
                <w:p w:rsidR="00A50C35" w:rsidRPr="00A50C35" w:rsidRDefault="00A50C35" w:rsidP="00A50C35">
                  <w:pPr>
                    <w:ind w:firstLine="709"/>
                    <w:jc w:val="both"/>
                    <w:rPr>
                      <w:rFonts w:ascii="Times New Roman" w:hAnsi="Times New Roman"/>
                      <w:sz w:val="28"/>
                      <w:szCs w:val="28"/>
                      <w:lang w:val="ru-RU"/>
                    </w:rPr>
                  </w:pPr>
                  <w:r w:rsidRPr="00A50C35">
                    <w:rPr>
                      <w:rFonts w:ascii="Times New Roman" w:eastAsia="Arial" w:hAnsi="Times New Roman"/>
                      <w:sz w:val="28"/>
                      <w:szCs w:val="28"/>
                      <w:lang w:val="ru-RU"/>
                    </w:rPr>
                    <w:lastRenderedPageBreak/>
                    <w:t>Кроме этого, в</w:t>
                  </w:r>
                  <w:r w:rsidRPr="00A50C35">
                    <w:rPr>
                      <w:rFonts w:ascii="Times New Roman" w:hAnsi="Times New Roman"/>
                      <w:bCs/>
                      <w:kern w:val="36"/>
                      <w:sz w:val="28"/>
                      <w:szCs w:val="28"/>
                      <w:lang w:val="ru-RU"/>
                    </w:rPr>
                    <w:t xml:space="preserve"> сентябре 2021 года прокуратурой района </w:t>
                  </w:r>
                  <w:r w:rsidRPr="00A50C35">
                    <w:rPr>
                      <w:rFonts w:ascii="Times New Roman" w:hAnsi="Times New Roman"/>
                      <w:sz w:val="28"/>
                      <w:szCs w:val="28"/>
                      <w:lang w:val="ru-RU"/>
                    </w:rPr>
                    <w:t xml:space="preserve">проведен анализ муниципальных нормативных правовых актов, регулирующих правоотношения в сфере исполнения национального проекта «Жильё и городская среда» в деятельности органов местного самоуправления Убинского района Новосибирской области, в ходе проведения которой выявлены нарушения в деятельности администрации одного муниципального образования Убинского района Новосибирской области. </w:t>
                  </w:r>
                </w:p>
                <w:p w:rsidR="00A50C35" w:rsidRPr="00A50C35" w:rsidRDefault="00A50C35" w:rsidP="00A50C35">
                  <w:pPr>
                    <w:ind w:firstLine="709"/>
                    <w:jc w:val="both"/>
                    <w:rPr>
                      <w:rFonts w:ascii="Times New Roman" w:hAnsi="Times New Roman"/>
                      <w:sz w:val="28"/>
                      <w:szCs w:val="28"/>
                      <w:lang w:val="ru-RU"/>
                    </w:rPr>
                  </w:pPr>
                  <w:r w:rsidRPr="00A50C35">
                    <w:rPr>
                      <w:rFonts w:ascii="Times New Roman" w:hAnsi="Times New Roman"/>
                      <w:sz w:val="28"/>
                      <w:szCs w:val="28"/>
                      <w:lang w:val="ru-RU"/>
                    </w:rPr>
                    <w:t xml:space="preserve">В ходе проведения проверки установлено, что муниципальная программа «Формирование комфортной городской среды на территории одного муниципального образования Убинского района Новосибирской области на 2018-2022 годы», утвержденная постановлением главы администрации, противоречит действующему законодательству. </w:t>
                  </w:r>
                </w:p>
                <w:p w:rsidR="00A50C35" w:rsidRPr="00A50C35" w:rsidRDefault="00A50C35" w:rsidP="00A50C35">
                  <w:pPr>
                    <w:ind w:firstLine="709"/>
                    <w:jc w:val="both"/>
                    <w:rPr>
                      <w:rFonts w:ascii="Times New Roman" w:hAnsi="Times New Roman"/>
                      <w:sz w:val="28"/>
                      <w:szCs w:val="28"/>
                      <w:lang w:val="ru-RU"/>
                    </w:rPr>
                  </w:pPr>
                  <w:r w:rsidRPr="00A50C35">
                    <w:rPr>
                      <w:rFonts w:ascii="Times New Roman" w:hAnsi="Times New Roman"/>
                      <w:sz w:val="28"/>
                      <w:szCs w:val="28"/>
                      <w:lang w:val="ru-RU"/>
                    </w:rPr>
                    <w:t>Постановлением Правительства РФ от 30.12.2017 № 1710 утверждена государственная программа Российской Федерации «Обеспечение доступным комфортным жильем и коммунальными услугами граждан Российской Федерации» (далее – государственная программа).</w:t>
                  </w:r>
                </w:p>
                <w:p w:rsidR="00A50C35" w:rsidRPr="00A50C35" w:rsidRDefault="00A50C35" w:rsidP="00A50C35">
                  <w:pPr>
                    <w:ind w:firstLine="709"/>
                    <w:jc w:val="both"/>
                    <w:rPr>
                      <w:rFonts w:ascii="Times New Roman" w:hAnsi="Times New Roman"/>
                      <w:sz w:val="28"/>
                      <w:szCs w:val="28"/>
                      <w:lang w:val="ru-RU"/>
                    </w:rPr>
                  </w:pPr>
                  <w:r w:rsidRPr="00A50C35">
                    <w:rPr>
                      <w:rFonts w:ascii="Times New Roman" w:hAnsi="Times New Roman"/>
                      <w:sz w:val="28"/>
                      <w:szCs w:val="28"/>
                      <w:lang w:val="ru-RU"/>
                    </w:rPr>
                    <w:t xml:space="preserve">Приложением № 15 к государственной программе утверждены правила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 </w:t>
                  </w:r>
                </w:p>
                <w:p w:rsidR="00A50C35" w:rsidRPr="00A50C35" w:rsidRDefault="00A50C35" w:rsidP="00A50C35">
                  <w:pPr>
                    <w:ind w:firstLine="709"/>
                    <w:jc w:val="both"/>
                    <w:rPr>
                      <w:rFonts w:ascii="Times New Roman" w:hAnsi="Times New Roman"/>
                      <w:sz w:val="28"/>
                      <w:szCs w:val="28"/>
                      <w:lang w:val="ru-RU"/>
                    </w:rPr>
                  </w:pPr>
                  <w:r w:rsidRPr="00A50C35">
                    <w:rPr>
                      <w:rFonts w:ascii="Times New Roman" w:hAnsi="Times New Roman"/>
                      <w:sz w:val="28"/>
                      <w:szCs w:val="28"/>
                      <w:lang w:val="ru-RU"/>
                    </w:rPr>
                    <w:t xml:space="preserve">Пункт 11 Приложения № 15 к государственной программе содержит в себе положения, которые обязательно должны содержаться в муниципальной программе. </w:t>
                  </w:r>
                </w:p>
                <w:p w:rsidR="00A50C35" w:rsidRPr="00A50C35" w:rsidRDefault="00A50C35" w:rsidP="00A50C35">
                  <w:pPr>
                    <w:ind w:firstLine="708"/>
                    <w:jc w:val="both"/>
                    <w:rPr>
                      <w:rFonts w:ascii="Times New Roman" w:hAnsi="Times New Roman"/>
                      <w:bCs/>
                      <w:kern w:val="36"/>
                      <w:sz w:val="28"/>
                      <w:szCs w:val="28"/>
                      <w:lang w:val="ru-RU"/>
                    </w:rPr>
                  </w:pPr>
                  <w:r w:rsidRPr="00A50C35">
                    <w:rPr>
                      <w:rFonts w:ascii="Times New Roman" w:hAnsi="Times New Roman"/>
                      <w:sz w:val="28"/>
                      <w:szCs w:val="28"/>
                      <w:lang w:val="ru-RU"/>
                    </w:rPr>
                    <w:t xml:space="preserve">В соответствии с подпунктом «л» пункта 11 Приложения № 15 к государственной программе муниципальная программа должна предусматривать, в том числе,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w:t>
                  </w:r>
                  <w:r w:rsidRPr="00A50C35">
                    <w:rPr>
                      <w:rFonts w:ascii="Times New Roman" w:hAnsi="Times New Roman"/>
                      <w:i/>
                      <w:sz w:val="28"/>
                      <w:szCs w:val="28"/>
                      <w:lang w:val="ru-RU"/>
                    </w:rPr>
                    <w:t>1 апреля года предоставления субсидии</w:t>
                  </w:r>
                  <w:r w:rsidRPr="00A50C35">
                    <w:rPr>
                      <w:rFonts w:ascii="Times New Roman" w:hAnsi="Times New Roman"/>
                      <w:sz w:val="28"/>
                      <w:szCs w:val="28"/>
                      <w:lang w:val="ru-RU"/>
                    </w:rPr>
                    <w:t>,</w:t>
                  </w:r>
                </w:p>
                <w:p w:rsidR="00A50C35" w:rsidRPr="00A50C35" w:rsidRDefault="00A50C35" w:rsidP="00A50C35">
                  <w:pPr>
                    <w:autoSpaceDE w:val="0"/>
                    <w:autoSpaceDN w:val="0"/>
                    <w:adjustRightInd w:val="0"/>
                    <w:ind w:firstLine="709"/>
                    <w:jc w:val="both"/>
                    <w:rPr>
                      <w:rFonts w:ascii="Times New Roman" w:hAnsi="Times New Roman"/>
                      <w:sz w:val="28"/>
                      <w:szCs w:val="28"/>
                      <w:lang w:val="ru-RU"/>
                    </w:rPr>
                  </w:pPr>
                  <w:r w:rsidRPr="00A50C35">
                    <w:rPr>
                      <w:rFonts w:ascii="Times New Roman" w:hAnsi="Times New Roman"/>
                      <w:sz w:val="28"/>
                      <w:szCs w:val="28"/>
                      <w:lang w:val="ru-RU"/>
                    </w:rPr>
                    <w:t xml:space="preserve">В нарушение указанных требований муниципальная программа «Формирование комфортной городской среды на территории одного муниципального образования Убинского района Новосибирской области на 2018-2022 годы» указанных обязательных норм не содержит. </w:t>
                  </w:r>
                </w:p>
                <w:p w:rsidR="00A50C35" w:rsidRPr="00A50C35" w:rsidRDefault="00A50C35" w:rsidP="00A50C35">
                  <w:pPr>
                    <w:autoSpaceDE w:val="0"/>
                    <w:autoSpaceDN w:val="0"/>
                    <w:adjustRightInd w:val="0"/>
                    <w:ind w:firstLine="709"/>
                    <w:jc w:val="both"/>
                    <w:rPr>
                      <w:rFonts w:ascii="Times New Roman" w:hAnsi="Times New Roman"/>
                      <w:sz w:val="28"/>
                      <w:szCs w:val="28"/>
                      <w:lang w:val="ru-RU"/>
                    </w:rPr>
                  </w:pPr>
                  <w:r w:rsidRPr="00A50C35">
                    <w:rPr>
                      <w:rFonts w:ascii="Times New Roman" w:hAnsi="Times New Roman"/>
                      <w:sz w:val="28"/>
                      <w:szCs w:val="28"/>
                      <w:lang w:val="ru-RU"/>
                    </w:rPr>
                    <w:t xml:space="preserve">Таким образом, предельные сроки для заключения соглашений по результатам закупки товаров, работ и услуг для обеспечения муниципальных нужд в целях реализации муниципальной программы, предусмотренным федеральным законодательством, муниципальная программа не содержит. </w:t>
                  </w:r>
                </w:p>
                <w:p w:rsidR="00A50C35" w:rsidRPr="00A50C35" w:rsidRDefault="00A50C35" w:rsidP="00A50C35">
                  <w:pPr>
                    <w:autoSpaceDE w:val="0"/>
                    <w:autoSpaceDN w:val="0"/>
                    <w:adjustRightInd w:val="0"/>
                    <w:ind w:firstLine="709"/>
                    <w:jc w:val="both"/>
                    <w:rPr>
                      <w:rFonts w:ascii="Times New Roman" w:hAnsi="Times New Roman"/>
                      <w:sz w:val="28"/>
                      <w:szCs w:val="28"/>
                      <w:lang w:val="ru-RU"/>
                    </w:rPr>
                  </w:pPr>
                  <w:r w:rsidRPr="00A50C35">
                    <w:rPr>
                      <w:rFonts w:ascii="Times New Roman" w:hAnsi="Times New Roman"/>
                      <w:sz w:val="28"/>
                      <w:szCs w:val="28"/>
                      <w:lang w:val="ru-RU"/>
                    </w:rPr>
                    <w:t>Кроме того, муниципальная программа не предусматривает весь перечень исключений, согласно которым допускается продление срока заключения таких соглашений.</w:t>
                  </w:r>
                </w:p>
                <w:p w:rsidR="00A50C35" w:rsidRPr="00A50C35" w:rsidRDefault="00A50C35" w:rsidP="00A50C35">
                  <w:pPr>
                    <w:ind w:firstLine="709"/>
                    <w:jc w:val="both"/>
                    <w:rPr>
                      <w:rFonts w:ascii="Times New Roman" w:hAnsi="Times New Roman"/>
                      <w:sz w:val="28"/>
                      <w:szCs w:val="28"/>
                      <w:lang w:val="ru-RU"/>
                    </w:rPr>
                  </w:pPr>
                  <w:proofErr w:type="gramStart"/>
                  <w:r w:rsidRPr="00A50C35">
                    <w:rPr>
                      <w:rFonts w:ascii="Times New Roman" w:hAnsi="Times New Roman"/>
                      <w:sz w:val="28"/>
                      <w:szCs w:val="28"/>
                      <w:lang w:val="ru-RU"/>
                    </w:rPr>
                    <w:t xml:space="preserve">Отсутствие сроков, условий и оснований принятие решения являются </w:t>
                  </w:r>
                  <w:proofErr w:type="spellStart"/>
                  <w:r w:rsidRPr="00A50C35">
                    <w:rPr>
                      <w:rFonts w:ascii="Times New Roman" w:hAnsi="Times New Roman"/>
                      <w:sz w:val="28"/>
                      <w:szCs w:val="28"/>
                      <w:lang w:val="ru-RU"/>
                    </w:rPr>
                    <w:t>коррупциогенным</w:t>
                  </w:r>
                  <w:proofErr w:type="spellEnd"/>
                  <w:r w:rsidRPr="00A50C35">
                    <w:rPr>
                      <w:rFonts w:ascii="Times New Roman" w:hAnsi="Times New Roman"/>
                      <w:sz w:val="28"/>
                      <w:szCs w:val="28"/>
                      <w:lang w:val="ru-RU"/>
                    </w:rPr>
                    <w:t xml:space="preserve"> фактором в соответствии с п. «а» ч. 3 </w:t>
                  </w:r>
                  <w:r w:rsidRPr="00A50C35">
                    <w:rPr>
                      <w:rFonts w:ascii="Times New Roman" w:hAnsi="Times New Roman"/>
                      <w:bCs/>
                      <w:sz w:val="28"/>
                      <w:szCs w:val="28"/>
                      <w:lang w:val="ru-RU"/>
                    </w:rPr>
                    <w:t xml:space="preserve">Методики проведения антикоррупционной экспертизы нормативных правовых актов и проектов нормативных правовых актов, утвержденной </w:t>
                  </w:r>
                  <w:hyperlink r:id="rId9" w:history="1">
                    <w:r w:rsidRPr="00A50C35">
                      <w:rPr>
                        <w:rFonts w:ascii="Times New Roman" w:hAnsi="Times New Roman"/>
                        <w:bCs/>
                        <w:sz w:val="28"/>
                        <w:szCs w:val="28"/>
                        <w:lang w:val="ru-RU"/>
                      </w:rPr>
                      <w:t>постановлением</w:t>
                    </w:r>
                  </w:hyperlink>
                  <w:r w:rsidRPr="00A50C35">
                    <w:rPr>
                      <w:rFonts w:ascii="Times New Roman" w:hAnsi="Times New Roman"/>
                      <w:bCs/>
                      <w:sz w:val="28"/>
                      <w:szCs w:val="28"/>
                      <w:lang w:val="ru-RU"/>
                    </w:rPr>
                    <w:t xml:space="preserve"> Правительства РФ от 26.02.2010 № 96, </w:t>
                  </w:r>
                  <w:r w:rsidRPr="00A50C35">
                    <w:rPr>
                      <w:rFonts w:ascii="Times New Roman" w:hAnsi="Times New Roman"/>
                      <w:sz w:val="28"/>
                      <w:szCs w:val="28"/>
                      <w:lang w:val="ru-RU"/>
                    </w:rPr>
                    <w:t xml:space="preserve">широта дискреционных полномочий - отсутствие или неопределенность сроков, условий или оснований принятия решения является </w:t>
                  </w:r>
                  <w:proofErr w:type="spellStart"/>
                  <w:r w:rsidRPr="00A50C35">
                    <w:rPr>
                      <w:rFonts w:ascii="Times New Roman" w:hAnsi="Times New Roman"/>
                      <w:sz w:val="28"/>
                      <w:szCs w:val="28"/>
                      <w:lang w:val="ru-RU"/>
                    </w:rPr>
                    <w:t>коррупциогенными</w:t>
                  </w:r>
                  <w:proofErr w:type="spellEnd"/>
                  <w:r w:rsidRPr="00A50C35">
                    <w:rPr>
                      <w:rFonts w:ascii="Times New Roman" w:hAnsi="Times New Roman"/>
                      <w:sz w:val="28"/>
                      <w:szCs w:val="28"/>
                      <w:lang w:val="ru-RU"/>
                    </w:rPr>
                    <w:t xml:space="preserve"> факторами.</w:t>
                  </w:r>
                  <w:proofErr w:type="gramEnd"/>
                </w:p>
                <w:p w:rsidR="00A50C35" w:rsidRPr="00A50C35" w:rsidRDefault="00A50C35" w:rsidP="00A50C35">
                  <w:pPr>
                    <w:shd w:val="clear" w:color="auto" w:fill="FFFFFF"/>
                    <w:ind w:firstLine="709"/>
                    <w:jc w:val="both"/>
                    <w:outlineLvl w:val="0"/>
                    <w:rPr>
                      <w:rFonts w:ascii="Times New Roman" w:hAnsi="Times New Roman"/>
                      <w:bCs/>
                      <w:kern w:val="36"/>
                      <w:sz w:val="28"/>
                      <w:szCs w:val="28"/>
                      <w:lang w:val="ru-RU"/>
                    </w:rPr>
                  </w:pPr>
                  <w:r w:rsidRPr="00A50C35">
                    <w:rPr>
                      <w:rFonts w:ascii="Times New Roman" w:hAnsi="Times New Roman"/>
                      <w:bCs/>
                      <w:kern w:val="36"/>
                      <w:sz w:val="28"/>
                      <w:szCs w:val="28"/>
                      <w:lang w:val="ru-RU"/>
                    </w:rPr>
                    <w:lastRenderedPageBreak/>
                    <w:t xml:space="preserve">По факту выявленных нарушений прокуратурой района главе администрации одного </w:t>
                  </w:r>
                  <w:r w:rsidRPr="00A50C35">
                    <w:rPr>
                      <w:rFonts w:ascii="Times New Roman" w:hAnsi="Times New Roman"/>
                      <w:sz w:val="28"/>
                      <w:szCs w:val="28"/>
                      <w:lang w:val="ru-RU"/>
                    </w:rPr>
                    <w:t>муниципального образования Убинского района Новосибирской области 22.09.2021 года было внесено представление с требование о внесении изменений в указанный муниципальный нормативный правовой акт. На отчетную дату представление находится в стадии рассмотрения.</w:t>
                  </w:r>
                </w:p>
                <w:p w:rsidR="00A50C35" w:rsidRPr="00A50C35" w:rsidRDefault="00A50C35" w:rsidP="00A50C35">
                  <w:pPr>
                    <w:ind w:firstLine="567"/>
                    <w:jc w:val="both"/>
                    <w:rPr>
                      <w:rFonts w:ascii="Times New Roman" w:hAnsi="Times New Roman"/>
                      <w:sz w:val="28"/>
                      <w:szCs w:val="28"/>
                      <w:lang w:val="ru-RU"/>
                    </w:rPr>
                  </w:pPr>
                </w:p>
                <w:p w:rsidR="00A50C35" w:rsidRPr="00A50C35" w:rsidRDefault="00A50C35" w:rsidP="00A50C35">
                  <w:pPr>
                    <w:pStyle w:val="af0"/>
                    <w:spacing w:line="240" w:lineRule="exact"/>
                    <w:rPr>
                      <w:rFonts w:ascii="Times New Roman" w:hAnsi="Times New Roman"/>
                      <w:sz w:val="28"/>
                      <w:szCs w:val="28"/>
                      <w:lang w:val="ru-RU"/>
                    </w:rPr>
                  </w:pPr>
                  <w:r w:rsidRPr="00A50C35">
                    <w:rPr>
                      <w:rFonts w:ascii="Times New Roman" w:hAnsi="Times New Roman"/>
                      <w:sz w:val="28"/>
                      <w:szCs w:val="28"/>
                      <w:lang w:val="ru-RU"/>
                    </w:rPr>
                    <w:t>Заместитель прокурора</w:t>
                  </w:r>
                </w:p>
                <w:p w:rsidR="00A50C35" w:rsidRPr="00A50C35" w:rsidRDefault="00A50C35" w:rsidP="00A50C35">
                  <w:pPr>
                    <w:pStyle w:val="af0"/>
                    <w:spacing w:line="240" w:lineRule="exact"/>
                    <w:rPr>
                      <w:rFonts w:ascii="Times New Roman" w:hAnsi="Times New Roman"/>
                      <w:sz w:val="28"/>
                      <w:szCs w:val="28"/>
                      <w:lang w:val="ru-RU"/>
                    </w:rPr>
                  </w:pPr>
                  <w:r w:rsidRPr="00A50C35">
                    <w:rPr>
                      <w:rFonts w:ascii="Times New Roman" w:hAnsi="Times New Roman"/>
                      <w:sz w:val="28"/>
                      <w:szCs w:val="28"/>
                      <w:lang w:val="ru-RU"/>
                    </w:rPr>
                    <w:t>Убинского района</w:t>
                  </w:r>
                </w:p>
                <w:p w:rsidR="00A50C35" w:rsidRPr="00A50C35" w:rsidRDefault="00A50C35" w:rsidP="00A50C35">
                  <w:pPr>
                    <w:pStyle w:val="af0"/>
                    <w:spacing w:line="240" w:lineRule="exact"/>
                    <w:rPr>
                      <w:rFonts w:ascii="Times New Roman" w:hAnsi="Times New Roman"/>
                      <w:sz w:val="28"/>
                      <w:szCs w:val="28"/>
                      <w:lang w:val="ru-RU"/>
                    </w:rPr>
                  </w:pPr>
                </w:p>
                <w:p w:rsidR="00A50C35" w:rsidRPr="00A50C35" w:rsidRDefault="00A50C35" w:rsidP="00A50C35">
                  <w:pPr>
                    <w:pStyle w:val="af0"/>
                    <w:spacing w:line="240" w:lineRule="exact"/>
                    <w:rPr>
                      <w:rFonts w:ascii="Times New Roman" w:hAnsi="Times New Roman"/>
                      <w:sz w:val="28"/>
                      <w:szCs w:val="28"/>
                      <w:lang w:val="ru-RU"/>
                    </w:rPr>
                  </w:pPr>
                  <w:r w:rsidRPr="00A50C35">
                    <w:rPr>
                      <w:rFonts w:ascii="Times New Roman" w:hAnsi="Times New Roman"/>
                      <w:sz w:val="28"/>
                      <w:szCs w:val="28"/>
                      <w:lang w:val="ru-RU"/>
                    </w:rPr>
                    <w:t>младший советник юстиции</w:t>
                  </w:r>
                  <w:r w:rsidRPr="00A50C35">
                    <w:rPr>
                      <w:rFonts w:ascii="Times New Roman" w:hAnsi="Times New Roman"/>
                      <w:sz w:val="28"/>
                      <w:szCs w:val="28"/>
                      <w:lang w:val="ru-RU"/>
                    </w:rPr>
                    <w:tab/>
                  </w:r>
                  <w:r w:rsidRPr="00A50C35">
                    <w:rPr>
                      <w:rFonts w:ascii="Times New Roman" w:hAnsi="Times New Roman"/>
                      <w:sz w:val="28"/>
                      <w:szCs w:val="28"/>
                      <w:lang w:val="ru-RU"/>
                    </w:rPr>
                    <w:tab/>
                  </w:r>
                  <w:r w:rsidRPr="00A50C35">
                    <w:rPr>
                      <w:rFonts w:ascii="Times New Roman" w:hAnsi="Times New Roman"/>
                      <w:sz w:val="28"/>
                      <w:szCs w:val="28"/>
                      <w:lang w:val="ru-RU"/>
                    </w:rPr>
                    <w:tab/>
                  </w:r>
                  <w:r w:rsidRPr="00A50C35">
                    <w:rPr>
                      <w:rFonts w:ascii="Times New Roman" w:hAnsi="Times New Roman"/>
                      <w:sz w:val="28"/>
                      <w:szCs w:val="28"/>
                      <w:lang w:val="ru-RU"/>
                    </w:rPr>
                    <w:tab/>
                  </w:r>
                  <w:r w:rsidRPr="00A50C35">
                    <w:rPr>
                      <w:rFonts w:ascii="Times New Roman" w:hAnsi="Times New Roman"/>
                      <w:sz w:val="28"/>
                      <w:szCs w:val="28"/>
                      <w:lang w:val="ru-RU"/>
                    </w:rPr>
                    <w:tab/>
                  </w:r>
                  <w:r w:rsidRPr="00A50C35">
                    <w:rPr>
                      <w:rFonts w:ascii="Times New Roman" w:hAnsi="Times New Roman"/>
                      <w:sz w:val="28"/>
                      <w:szCs w:val="28"/>
                      <w:lang w:val="ru-RU"/>
                    </w:rPr>
                    <w:tab/>
                  </w:r>
                  <w:r w:rsidRPr="00A50C35">
                    <w:rPr>
                      <w:rFonts w:ascii="Times New Roman" w:hAnsi="Times New Roman"/>
                      <w:sz w:val="28"/>
                      <w:szCs w:val="28"/>
                      <w:lang w:val="ru-RU"/>
                    </w:rPr>
                    <w:tab/>
                    <w:t xml:space="preserve">С.В. </w:t>
                  </w:r>
                  <w:proofErr w:type="spellStart"/>
                  <w:r w:rsidRPr="00A50C35">
                    <w:rPr>
                      <w:rFonts w:ascii="Times New Roman" w:hAnsi="Times New Roman"/>
                      <w:sz w:val="28"/>
                      <w:szCs w:val="28"/>
                      <w:lang w:val="ru-RU"/>
                    </w:rPr>
                    <w:t>Бервинов</w:t>
                  </w:r>
                  <w:proofErr w:type="spellEnd"/>
                </w:p>
                <w:p w:rsidR="00830445" w:rsidRDefault="00830445" w:rsidP="00117E22">
                  <w:pPr>
                    <w:jc w:val="right"/>
                    <w:rPr>
                      <w:rFonts w:ascii="Times New Roman" w:hAnsi="Times New Roman"/>
                      <w:sz w:val="28"/>
                      <w:szCs w:val="28"/>
                      <w:lang w:val="ru-RU"/>
                    </w:rPr>
                  </w:pPr>
                </w:p>
                <w:p w:rsidR="00830445" w:rsidRDefault="0083044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Default="00A50C35" w:rsidP="00117E22">
                  <w:pPr>
                    <w:jc w:val="right"/>
                    <w:rPr>
                      <w:rFonts w:ascii="Times New Roman" w:hAnsi="Times New Roman"/>
                      <w:sz w:val="28"/>
                      <w:szCs w:val="28"/>
                      <w:lang w:val="ru-RU"/>
                    </w:rPr>
                  </w:pPr>
                </w:p>
                <w:p w:rsidR="00A50C35" w:rsidRPr="00830445" w:rsidRDefault="00A50C35" w:rsidP="00117E22">
                  <w:pPr>
                    <w:jc w:val="right"/>
                    <w:rPr>
                      <w:rFonts w:ascii="Times New Roman" w:hAnsi="Times New Roman"/>
                      <w:sz w:val="28"/>
                      <w:szCs w:val="28"/>
                      <w:lang w:val="ru-RU"/>
                    </w:rPr>
                  </w:pPr>
                </w:p>
              </w:tc>
            </w:tr>
            <w:tr w:rsidR="00117E22" w:rsidRPr="00A50C35" w:rsidTr="00440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117E22" w:rsidRPr="00830445" w:rsidRDefault="00117E22" w:rsidP="00117E22">
                  <w:pPr>
                    <w:rPr>
                      <w:rFonts w:ascii="Times New Roman" w:hAnsi="Times New Roman"/>
                      <w:sz w:val="28"/>
                      <w:szCs w:val="28"/>
                      <w:lang w:val="ru-RU"/>
                    </w:rPr>
                  </w:pPr>
                </w:p>
              </w:tc>
              <w:tc>
                <w:tcPr>
                  <w:tcW w:w="10207" w:type="dxa"/>
                  <w:tcBorders>
                    <w:top w:val="nil"/>
                    <w:left w:val="nil"/>
                    <w:bottom w:val="nil"/>
                    <w:right w:val="nil"/>
                  </w:tcBorders>
                </w:tcPr>
                <w:p w:rsidR="00117E22" w:rsidRPr="00830445" w:rsidRDefault="00117E22" w:rsidP="00117E22">
                  <w:pPr>
                    <w:rPr>
                      <w:rFonts w:ascii="Times New Roman" w:hAnsi="Times New Roman"/>
                      <w:sz w:val="28"/>
                      <w:szCs w:val="28"/>
                      <w:vertAlign w:val="superscript"/>
                      <w:lang w:val="ru-RU"/>
                    </w:rPr>
                  </w:pPr>
                </w:p>
              </w:tc>
            </w:tr>
          </w:tbl>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Учредитель: администрация Борисоглебского сельсовета</w:t>
            </w:r>
          </w:p>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Убинского района Новосибирской области</w:t>
            </w:r>
          </w:p>
          <w:p w:rsidR="00057433" w:rsidRPr="0083044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42" w:rsidRDefault="00C61F42" w:rsidP="00374DD2">
      <w:r>
        <w:separator/>
      </w:r>
    </w:p>
  </w:endnote>
  <w:endnote w:type="continuationSeparator" w:id="0">
    <w:p w:rsidR="00C61F42" w:rsidRDefault="00C61F4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42" w:rsidRDefault="00C61F42" w:rsidP="00374DD2">
      <w:r>
        <w:separator/>
      </w:r>
    </w:p>
  </w:footnote>
  <w:footnote w:type="continuationSeparator" w:id="0">
    <w:p w:rsidR="00C61F42" w:rsidRDefault="00C61F42"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4">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5"/>
  </w:num>
  <w:num w:numId="17">
    <w:abstractNumId w:val="14"/>
  </w:num>
  <w:num w:numId="18">
    <w:abstractNumId w:val="27"/>
  </w:num>
  <w:num w:numId="19">
    <w:abstractNumId w:val="7"/>
  </w:num>
  <w:num w:numId="20">
    <w:abstractNumId w:val="18"/>
  </w:num>
  <w:num w:numId="21">
    <w:abstractNumId w:val="21"/>
  </w:num>
  <w:num w:numId="22">
    <w:abstractNumId w:val="22"/>
  </w:num>
  <w:num w:numId="23">
    <w:abstractNumId w:val="10"/>
  </w:num>
  <w:num w:numId="24">
    <w:abstractNumId w:val="5"/>
  </w:num>
  <w:num w:numId="25">
    <w:abstractNumId w:val="17"/>
  </w:num>
  <w:num w:numId="26">
    <w:abstractNumId w:val="24"/>
  </w:num>
  <w:num w:numId="27">
    <w:abstractNumId w:val="16"/>
  </w:num>
  <w:num w:numId="28">
    <w:abstractNumId w:val="2"/>
  </w:num>
  <w:num w:numId="29">
    <w:abstractNumId w:val="20"/>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33E6E"/>
    <w:rsid w:val="00040150"/>
    <w:rsid w:val="0004523D"/>
    <w:rsid w:val="0005113C"/>
    <w:rsid w:val="00052DF2"/>
    <w:rsid w:val="00057433"/>
    <w:rsid w:val="00065942"/>
    <w:rsid w:val="00072602"/>
    <w:rsid w:val="0007547E"/>
    <w:rsid w:val="00083B7D"/>
    <w:rsid w:val="000B28DB"/>
    <w:rsid w:val="000C0F09"/>
    <w:rsid w:val="000C7DAB"/>
    <w:rsid w:val="000D48AB"/>
    <w:rsid w:val="000D50FC"/>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C60C9"/>
    <w:rsid w:val="001D4660"/>
    <w:rsid w:val="001D64B5"/>
    <w:rsid w:val="001E76E1"/>
    <w:rsid w:val="00222C9C"/>
    <w:rsid w:val="00226E18"/>
    <w:rsid w:val="00232257"/>
    <w:rsid w:val="00232699"/>
    <w:rsid w:val="00234D74"/>
    <w:rsid w:val="00236BAA"/>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23BA"/>
    <w:rsid w:val="00307337"/>
    <w:rsid w:val="003129F4"/>
    <w:rsid w:val="00312B83"/>
    <w:rsid w:val="00316AAF"/>
    <w:rsid w:val="00322F1F"/>
    <w:rsid w:val="00337C4F"/>
    <w:rsid w:val="003506A8"/>
    <w:rsid w:val="003637A4"/>
    <w:rsid w:val="00366933"/>
    <w:rsid w:val="00370337"/>
    <w:rsid w:val="00374DD2"/>
    <w:rsid w:val="00393793"/>
    <w:rsid w:val="003C04F4"/>
    <w:rsid w:val="003F1920"/>
    <w:rsid w:val="003F2820"/>
    <w:rsid w:val="003F54BE"/>
    <w:rsid w:val="00402003"/>
    <w:rsid w:val="0040202D"/>
    <w:rsid w:val="004022E1"/>
    <w:rsid w:val="00403A30"/>
    <w:rsid w:val="00412462"/>
    <w:rsid w:val="00416C7B"/>
    <w:rsid w:val="0044077D"/>
    <w:rsid w:val="00447641"/>
    <w:rsid w:val="00482935"/>
    <w:rsid w:val="004B0E79"/>
    <w:rsid w:val="004C1D2B"/>
    <w:rsid w:val="004C5D92"/>
    <w:rsid w:val="004E001D"/>
    <w:rsid w:val="004E7413"/>
    <w:rsid w:val="004F24D7"/>
    <w:rsid w:val="004F28C2"/>
    <w:rsid w:val="004F4DDF"/>
    <w:rsid w:val="005052B5"/>
    <w:rsid w:val="00511DBD"/>
    <w:rsid w:val="00514302"/>
    <w:rsid w:val="005201A0"/>
    <w:rsid w:val="0052781F"/>
    <w:rsid w:val="00527F07"/>
    <w:rsid w:val="00534193"/>
    <w:rsid w:val="005456E2"/>
    <w:rsid w:val="0054687B"/>
    <w:rsid w:val="00552D11"/>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498B"/>
    <w:rsid w:val="006C512F"/>
    <w:rsid w:val="006C5D78"/>
    <w:rsid w:val="006D57B8"/>
    <w:rsid w:val="006E29F8"/>
    <w:rsid w:val="006E39E9"/>
    <w:rsid w:val="006E7701"/>
    <w:rsid w:val="00703E1A"/>
    <w:rsid w:val="0071097B"/>
    <w:rsid w:val="00712AC9"/>
    <w:rsid w:val="007301C0"/>
    <w:rsid w:val="007354B8"/>
    <w:rsid w:val="007527C0"/>
    <w:rsid w:val="00753D62"/>
    <w:rsid w:val="007540ED"/>
    <w:rsid w:val="007602CE"/>
    <w:rsid w:val="00761455"/>
    <w:rsid w:val="00763445"/>
    <w:rsid w:val="0076643D"/>
    <w:rsid w:val="0076765A"/>
    <w:rsid w:val="00780082"/>
    <w:rsid w:val="00784D43"/>
    <w:rsid w:val="00797E8F"/>
    <w:rsid w:val="007A13BA"/>
    <w:rsid w:val="007B7614"/>
    <w:rsid w:val="007C7FC3"/>
    <w:rsid w:val="007D33A2"/>
    <w:rsid w:val="007E5A39"/>
    <w:rsid w:val="007E687E"/>
    <w:rsid w:val="007E6F1B"/>
    <w:rsid w:val="007F32EC"/>
    <w:rsid w:val="007F37A2"/>
    <w:rsid w:val="007F6763"/>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343E"/>
    <w:rsid w:val="008F6752"/>
    <w:rsid w:val="008F74D6"/>
    <w:rsid w:val="00900908"/>
    <w:rsid w:val="009014B9"/>
    <w:rsid w:val="00901D96"/>
    <w:rsid w:val="00915E94"/>
    <w:rsid w:val="00916753"/>
    <w:rsid w:val="009550CD"/>
    <w:rsid w:val="00961F25"/>
    <w:rsid w:val="00965130"/>
    <w:rsid w:val="00975137"/>
    <w:rsid w:val="00975A53"/>
    <w:rsid w:val="009854F1"/>
    <w:rsid w:val="00990F01"/>
    <w:rsid w:val="009973F1"/>
    <w:rsid w:val="009A006D"/>
    <w:rsid w:val="009A1185"/>
    <w:rsid w:val="009A3BB0"/>
    <w:rsid w:val="009A6E09"/>
    <w:rsid w:val="009C0534"/>
    <w:rsid w:val="009C2419"/>
    <w:rsid w:val="009C68E7"/>
    <w:rsid w:val="009C6E8B"/>
    <w:rsid w:val="009D0673"/>
    <w:rsid w:val="009D0A5A"/>
    <w:rsid w:val="009D2EBB"/>
    <w:rsid w:val="009E373A"/>
    <w:rsid w:val="00A026A7"/>
    <w:rsid w:val="00A04B73"/>
    <w:rsid w:val="00A06A52"/>
    <w:rsid w:val="00A1010F"/>
    <w:rsid w:val="00A11D92"/>
    <w:rsid w:val="00A146AC"/>
    <w:rsid w:val="00A17F6E"/>
    <w:rsid w:val="00A21ED6"/>
    <w:rsid w:val="00A323CB"/>
    <w:rsid w:val="00A50C35"/>
    <w:rsid w:val="00A700C9"/>
    <w:rsid w:val="00A72B74"/>
    <w:rsid w:val="00A86A6D"/>
    <w:rsid w:val="00A914CF"/>
    <w:rsid w:val="00A92DFE"/>
    <w:rsid w:val="00A934FE"/>
    <w:rsid w:val="00A95E15"/>
    <w:rsid w:val="00AA1182"/>
    <w:rsid w:val="00AB044C"/>
    <w:rsid w:val="00AB3E37"/>
    <w:rsid w:val="00AB5206"/>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D220E"/>
    <w:rsid w:val="00BD403F"/>
    <w:rsid w:val="00BE3F24"/>
    <w:rsid w:val="00BE7B07"/>
    <w:rsid w:val="00BF07B5"/>
    <w:rsid w:val="00BF5645"/>
    <w:rsid w:val="00C0032C"/>
    <w:rsid w:val="00C16009"/>
    <w:rsid w:val="00C32835"/>
    <w:rsid w:val="00C3543D"/>
    <w:rsid w:val="00C37609"/>
    <w:rsid w:val="00C443CB"/>
    <w:rsid w:val="00C46AA2"/>
    <w:rsid w:val="00C61F42"/>
    <w:rsid w:val="00C65A07"/>
    <w:rsid w:val="00C81687"/>
    <w:rsid w:val="00C921E4"/>
    <w:rsid w:val="00CA10BA"/>
    <w:rsid w:val="00CC0877"/>
    <w:rsid w:val="00CF2610"/>
    <w:rsid w:val="00CF6018"/>
    <w:rsid w:val="00CF64BF"/>
    <w:rsid w:val="00CF7407"/>
    <w:rsid w:val="00D00856"/>
    <w:rsid w:val="00D02970"/>
    <w:rsid w:val="00D078D6"/>
    <w:rsid w:val="00D21028"/>
    <w:rsid w:val="00D26FD2"/>
    <w:rsid w:val="00D270F5"/>
    <w:rsid w:val="00D319EC"/>
    <w:rsid w:val="00D36B3D"/>
    <w:rsid w:val="00D4197C"/>
    <w:rsid w:val="00D460EE"/>
    <w:rsid w:val="00D629C5"/>
    <w:rsid w:val="00D6627B"/>
    <w:rsid w:val="00D67822"/>
    <w:rsid w:val="00D80C34"/>
    <w:rsid w:val="00D92BDF"/>
    <w:rsid w:val="00D97A85"/>
    <w:rsid w:val="00DA29D9"/>
    <w:rsid w:val="00DA2D88"/>
    <w:rsid w:val="00DB10C1"/>
    <w:rsid w:val="00DB417D"/>
    <w:rsid w:val="00DC6486"/>
    <w:rsid w:val="00DC7F8D"/>
    <w:rsid w:val="00DD21D1"/>
    <w:rsid w:val="00DD485F"/>
    <w:rsid w:val="00DE5D1B"/>
    <w:rsid w:val="00DF212C"/>
    <w:rsid w:val="00E05781"/>
    <w:rsid w:val="00E14B9C"/>
    <w:rsid w:val="00E173EE"/>
    <w:rsid w:val="00E430CD"/>
    <w:rsid w:val="00E46AC3"/>
    <w:rsid w:val="00E50DA3"/>
    <w:rsid w:val="00E50DDB"/>
    <w:rsid w:val="00E56361"/>
    <w:rsid w:val="00E6367B"/>
    <w:rsid w:val="00E7705F"/>
    <w:rsid w:val="00E900A3"/>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506B"/>
    <w:rsid w:val="00F759CD"/>
    <w:rsid w:val="00F8268B"/>
    <w:rsid w:val="00F829B4"/>
    <w:rsid w:val="00F859B6"/>
    <w:rsid w:val="00F86009"/>
    <w:rsid w:val="00F872D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197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F1E0-2EB1-4FF7-82C4-26ED4F80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1</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cp:lastPrinted>2021-10-13T08:39:00Z</cp:lastPrinted>
  <dcterms:created xsi:type="dcterms:W3CDTF">2018-06-14T04:09:00Z</dcterms:created>
  <dcterms:modified xsi:type="dcterms:W3CDTF">2021-10-13T08:40:00Z</dcterms:modified>
</cp:coreProperties>
</file>