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1432CF"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114FF6">
              <w:rPr>
                <w:rFonts w:ascii="Times New Roman" w:hAnsi="Times New Roman"/>
                <w:b/>
                <w:bCs/>
                <w:sz w:val="22"/>
                <w:lang w:val="ru-RU"/>
              </w:rPr>
              <w:t>0</w:t>
            </w:r>
            <w:r w:rsidR="001432CF">
              <w:rPr>
                <w:rFonts w:ascii="Times New Roman" w:hAnsi="Times New Roman"/>
                <w:b/>
                <w:bCs/>
                <w:sz w:val="22"/>
                <w:lang w:val="ru-RU"/>
              </w:rPr>
              <w:t>5</w:t>
            </w:r>
            <w:r w:rsidR="001C05A6">
              <w:rPr>
                <w:rFonts w:ascii="Times New Roman" w:hAnsi="Times New Roman"/>
                <w:b/>
                <w:bCs/>
                <w:sz w:val="22"/>
                <w:lang w:val="ru-RU"/>
              </w:rPr>
              <w:t xml:space="preserve"> </w:t>
            </w:r>
            <w:r w:rsidR="00114FF6">
              <w:rPr>
                <w:rFonts w:ascii="Times New Roman" w:hAnsi="Times New Roman"/>
                <w:b/>
                <w:bCs/>
                <w:sz w:val="22"/>
                <w:lang w:val="ru-RU"/>
              </w:rPr>
              <w:t>апреля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432CF">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1432CF">
              <w:rPr>
                <w:rFonts w:ascii="Century" w:hAnsi="Century"/>
                <w:b/>
                <w:bCs/>
                <w:sz w:val="44"/>
                <w:szCs w:val="44"/>
                <w:lang w:val="ru-RU"/>
              </w:rPr>
              <w:t>8</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1432CF" w:rsidRDefault="001432CF" w:rsidP="001432CF">
            <w:pPr>
              <w:tabs>
                <w:tab w:val="left" w:pos="4632"/>
              </w:tabs>
              <w:jc w:val="center"/>
              <w:rPr>
                <w:rFonts w:ascii="Times New Roman" w:hAnsi="Times New Roman"/>
                <w:b/>
                <w:i/>
                <w:sz w:val="28"/>
                <w:szCs w:val="28"/>
                <w:lang w:val="ru-RU"/>
              </w:rPr>
            </w:pPr>
          </w:p>
          <w:p w:rsidR="001432CF" w:rsidRDefault="001432CF" w:rsidP="001432CF">
            <w:pPr>
              <w:tabs>
                <w:tab w:val="left" w:pos="4632"/>
              </w:tabs>
              <w:jc w:val="center"/>
              <w:rPr>
                <w:rFonts w:ascii="Times New Roman" w:hAnsi="Times New Roman"/>
                <w:b/>
                <w:i/>
                <w:sz w:val="28"/>
                <w:szCs w:val="28"/>
                <w:lang w:val="ru-RU"/>
              </w:rPr>
            </w:pPr>
            <w:r w:rsidRPr="00847384">
              <w:rPr>
                <w:rFonts w:ascii="Times New Roman" w:hAnsi="Times New Roman"/>
                <w:b/>
                <w:i/>
                <w:sz w:val="28"/>
                <w:szCs w:val="28"/>
                <w:lang w:val="ru-RU"/>
              </w:rPr>
              <w:t>Официальная информация прокуратуры Убинского района</w:t>
            </w:r>
          </w:p>
          <w:p w:rsidR="001432CF" w:rsidRDefault="001432CF" w:rsidP="001432CF">
            <w:pPr>
              <w:ind w:firstLine="709"/>
              <w:jc w:val="center"/>
              <w:rPr>
                <w:rFonts w:ascii="Times New Roman" w:hAnsi="Times New Roman"/>
                <w:b/>
                <w:sz w:val="28"/>
                <w:szCs w:val="28"/>
                <w:lang w:val="ru-RU"/>
              </w:rPr>
            </w:pPr>
          </w:p>
          <w:p w:rsidR="001432CF" w:rsidRDefault="001432CF" w:rsidP="001432CF">
            <w:pPr>
              <w:ind w:firstLine="709"/>
              <w:jc w:val="center"/>
              <w:rPr>
                <w:rFonts w:ascii="Times New Roman" w:hAnsi="Times New Roman"/>
                <w:b/>
                <w:sz w:val="28"/>
                <w:szCs w:val="28"/>
                <w:lang w:val="ru-RU"/>
              </w:rPr>
            </w:pPr>
          </w:p>
          <w:p w:rsidR="001432CF" w:rsidRPr="001432CF" w:rsidRDefault="001432CF" w:rsidP="001432CF">
            <w:pPr>
              <w:ind w:firstLine="709"/>
              <w:jc w:val="center"/>
              <w:rPr>
                <w:rFonts w:ascii="Times New Roman" w:hAnsi="Times New Roman"/>
                <w:b/>
                <w:sz w:val="28"/>
                <w:szCs w:val="28"/>
                <w:lang w:val="ru-RU"/>
              </w:rPr>
            </w:pPr>
            <w:r w:rsidRPr="001432CF">
              <w:rPr>
                <w:rFonts w:ascii="Times New Roman" w:hAnsi="Times New Roman"/>
                <w:b/>
                <w:sz w:val="28"/>
                <w:szCs w:val="28"/>
                <w:lang w:val="ru-RU"/>
              </w:rPr>
              <w:t>О возмещении причиненного вреда при оказании коммунальных услуг ненадлежащего качества.</w:t>
            </w:r>
          </w:p>
          <w:p w:rsidR="001432CF" w:rsidRPr="001432CF" w:rsidRDefault="001432CF" w:rsidP="001432CF">
            <w:pPr>
              <w:ind w:firstLine="709"/>
              <w:jc w:val="center"/>
              <w:rPr>
                <w:rFonts w:ascii="Times New Roman" w:hAnsi="Times New Roman"/>
                <w:sz w:val="28"/>
                <w:szCs w:val="28"/>
                <w:lang w:val="ru-RU"/>
              </w:rPr>
            </w:pP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регулирует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порядок контроля качества предоставления коммунальных услуг, порядок изменения размера платы за коммунальные услуги при предоставлении коммунальных услуг ненадлежащего качества</w:t>
            </w:r>
            <w:proofErr w:type="gramEnd"/>
            <w:r w:rsidRPr="001432CF">
              <w:rPr>
                <w:rFonts w:ascii="Times New Roman" w:hAnsi="Times New Roman"/>
                <w:sz w:val="28"/>
                <w:szCs w:val="28"/>
                <w:lang w:val="ru-RU"/>
              </w:rPr>
              <w:t xml:space="preserve">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Нередко </w:t>
            </w:r>
            <w:proofErr w:type="gramStart"/>
            <w:r w:rsidRPr="001432CF">
              <w:rPr>
                <w:rFonts w:ascii="Times New Roman" w:hAnsi="Times New Roman"/>
                <w:sz w:val="28"/>
                <w:szCs w:val="28"/>
                <w:lang w:val="ru-RU"/>
              </w:rPr>
              <w:t>в следствии</w:t>
            </w:r>
            <w:proofErr w:type="gramEnd"/>
            <w:r w:rsidRPr="001432CF">
              <w:rPr>
                <w:rFonts w:ascii="Times New Roman" w:hAnsi="Times New Roman"/>
                <w:sz w:val="28"/>
                <w:szCs w:val="28"/>
                <w:lang w:val="ru-RU"/>
              </w:rPr>
              <w:t xml:space="preserve"> аварий </w:t>
            </w:r>
            <w:proofErr w:type="spellStart"/>
            <w:r w:rsidRPr="001432CF">
              <w:rPr>
                <w:rFonts w:ascii="Times New Roman" w:hAnsi="Times New Roman"/>
                <w:sz w:val="28"/>
                <w:szCs w:val="28"/>
                <w:lang w:val="ru-RU"/>
              </w:rPr>
              <w:t>ресурсоснабжающие</w:t>
            </w:r>
            <w:proofErr w:type="spellEnd"/>
            <w:r w:rsidRPr="001432CF">
              <w:rPr>
                <w:rFonts w:ascii="Times New Roman" w:hAnsi="Times New Roman"/>
                <w:sz w:val="28"/>
                <w:szCs w:val="28"/>
                <w:lang w:val="ru-RU"/>
              </w:rPr>
              <w:t xml:space="preserve"> и сетевые компании производят приостановку оказания коммунальных услуг, что может привести к причинению вреда абонентам.</w:t>
            </w: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 xml:space="preserve">В таких случаях законодательством предусмотрено, что </w:t>
            </w:r>
            <w:proofErr w:type="spellStart"/>
            <w:r w:rsidRPr="001432CF">
              <w:rPr>
                <w:rFonts w:ascii="Times New Roman" w:hAnsi="Times New Roman"/>
                <w:sz w:val="28"/>
                <w:szCs w:val="28"/>
                <w:lang w:val="ru-RU"/>
              </w:rPr>
              <w:t>ресурсоснабжающие</w:t>
            </w:r>
            <w:proofErr w:type="spellEnd"/>
            <w:r w:rsidRPr="001432CF">
              <w:rPr>
                <w:rFonts w:ascii="Times New Roman" w:hAnsi="Times New Roman"/>
                <w:sz w:val="28"/>
                <w:szCs w:val="28"/>
                <w:lang w:val="ru-RU"/>
              </w:rPr>
              <w:t xml:space="preserve"> и сетевые компании несут установленную законодательством Российской Федерации административную, уголовную или гражданско-правовую ответственность за нарушение качества предоставления потребителю коммунальных услуг; возмещают вред, причиненный жизни, здоровью и имуществу потребителя вследствие нарушения качества предоставления коммунальных услуг, вследствие </w:t>
            </w:r>
            <w:r w:rsidRPr="001432CF">
              <w:rPr>
                <w:rFonts w:ascii="Times New Roman" w:hAnsi="Times New Roman"/>
                <w:sz w:val="28"/>
                <w:szCs w:val="28"/>
                <w:lang w:val="ru-RU"/>
              </w:rPr>
              <w:t>непредставления</w:t>
            </w:r>
            <w:r w:rsidRPr="001432CF">
              <w:rPr>
                <w:rFonts w:ascii="Times New Roman" w:hAnsi="Times New Roman"/>
                <w:sz w:val="28"/>
                <w:szCs w:val="28"/>
                <w:lang w:val="ru-RU"/>
              </w:rPr>
              <w:t xml:space="preserve"> потребителю полной и достоверной информации о предоставляемых коммунальных услугах;</w:t>
            </w:r>
            <w:proofErr w:type="gramEnd"/>
            <w:r w:rsidRPr="001432CF">
              <w:rPr>
                <w:rFonts w:ascii="Times New Roman" w:hAnsi="Times New Roman"/>
                <w:sz w:val="28"/>
                <w:szCs w:val="28"/>
                <w:lang w:val="ru-RU"/>
              </w:rPr>
              <w:t xml:space="preserve"> возмещают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а также компенсируют моральный вред, причиненный потребителю вследствие </w:t>
            </w:r>
            <w:r w:rsidRPr="001432CF">
              <w:rPr>
                <w:rFonts w:ascii="Times New Roman" w:hAnsi="Times New Roman"/>
                <w:sz w:val="28"/>
                <w:szCs w:val="28"/>
                <w:lang w:val="ru-RU"/>
              </w:rPr>
              <w:lastRenderedPageBreak/>
              <w:t>нарушения исполнителем прав потребителей.</w:t>
            </w: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 xml:space="preserve">Кроме того, </w:t>
            </w:r>
            <w:proofErr w:type="spellStart"/>
            <w:r w:rsidRPr="001432CF">
              <w:rPr>
                <w:rFonts w:ascii="Times New Roman" w:hAnsi="Times New Roman"/>
                <w:sz w:val="28"/>
                <w:szCs w:val="28"/>
                <w:lang w:val="ru-RU"/>
              </w:rPr>
              <w:t>ресурсоснабжающие</w:t>
            </w:r>
            <w:proofErr w:type="spellEnd"/>
            <w:r w:rsidRPr="001432CF">
              <w:rPr>
                <w:rFonts w:ascii="Times New Roman" w:hAnsi="Times New Roman"/>
                <w:sz w:val="28"/>
                <w:szCs w:val="28"/>
                <w:lang w:val="ru-RU"/>
              </w:rPr>
              <w:t xml:space="preserve"> и сетевые компании,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обязаны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roofErr w:type="gramEnd"/>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1432CF" w:rsidRPr="001432CF" w:rsidRDefault="001432CF" w:rsidP="001432CF">
            <w:pPr>
              <w:rPr>
                <w:rFonts w:ascii="Times New Roman" w:hAnsi="Times New Roman"/>
                <w:sz w:val="28"/>
                <w:szCs w:val="28"/>
                <w:lang w:val="ru-RU"/>
              </w:rPr>
            </w:pPr>
          </w:p>
          <w:p w:rsidR="001432CF" w:rsidRPr="001432CF" w:rsidRDefault="001432CF" w:rsidP="001432CF">
            <w:pPr>
              <w:rPr>
                <w:rFonts w:ascii="Times New Roman" w:hAnsi="Times New Roman"/>
                <w:sz w:val="28"/>
                <w:szCs w:val="28"/>
                <w:lang w:val="ru-RU"/>
              </w:rPr>
            </w:pPr>
            <w:r w:rsidRPr="001432CF">
              <w:rPr>
                <w:rFonts w:ascii="Times New Roman" w:hAnsi="Times New Roman"/>
                <w:sz w:val="28"/>
                <w:szCs w:val="28"/>
                <w:lang w:val="ru-RU"/>
              </w:rPr>
              <w:t xml:space="preserve">Помощник прокурора </w:t>
            </w:r>
            <w:proofErr w:type="spellStart"/>
            <w:r w:rsidRPr="001432CF">
              <w:rPr>
                <w:rFonts w:ascii="Times New Roman" w:hAnsi="Times New Roman"/>
                <w:sz w:val="28"/>
                <w:szCs w:val="28"/>
                <w:lang w:val="ru-RU"/>
              </w:rPr>
              <w:t>Мельцас</w:t>
            </w:r>
            <w:proofErr w:type="spellEnd"/>
            <w:r w:rsidRPr="001432CF">
              <w:rPr>
                <w:rFonts w:ascii="Times New Roman" w:hAnsi="Times New Roman"/>
                <w:sz w:val="28"/>
                <w:szCs w:val="28"/>
                <w:lang w:val="ru-RU"/>
              </w:rPr>
              <w:t xml:space="preserve"> Е.В.</w:t>
            </w:r>
          </w:p>
          <w:p w:rsidR="001432CF" w:rsidRPr="001432CF" w:rsidRDefault="001432CF" w:rsidP="00114FF6">
            <w:pPr>
              <w:jc w:val="center"/>
              <w:rPr>
                <w:rFonts w:ascii="Times New Roman" w:hAnsi="Times New Roman"/>
                <w:b/>
                <w:sz w:val="28"/>
                <w:szCs w:val="28"/>
                <w:lang w:val="ru-RU"/>
              </w:rPr>
            </w:pPr>
          </w:p>
          <w:p w:rsidR="001432CF" w:rsidRDefault="001432CF" w:rsidP="00114FF6">
            <w:pPr>
              <w:jc w:val="center"/>
              <w:rPr>
                <w:rFonts w:ascii="Times New Roman" w:hAnsi="Times New Roman"/>
                <w:b/>
                <w:sz w:val="28"/>
                <w:szCs w:val="28"/>
                <w:lang w:val="ru-RU"/>
              </w:rPr>
            </w:pPr>
          </w:p>
          <w:p w:rsidR="001432CF" w:rsidRPr="001432CF" w:rsidRDefault="001432CF" w:rsidP="001432CF">
            <w:pPr>
              <w:ind w:firstLine="709"/>
              <w:jc w:val="center"/>
              <w:rPr>
                <w:rFonts w:ascii="Times New Roman" w:hAnsi="Times New Roman"/>
                <w:b/>
                <w:sz w:val="28"/>
                <w:szCs w:val="28"/>
                <w:lang w:val="ru-RU"/>
              </w:rPr>
            </w:pPr>
            <w:r w:rsidRPr="001432CF">
              <w:rPr>
                <w:rFonts w:ascii="Times New Roman" w:hAnsi="Times New Roman"/>
                <w:b/>
                <w:sz w:val="28"/>
                <w:szCs w:val="28"/>
                <w:lang w:val="ru-RU"/>
              </w:rPr>
              <w:t>Организации независимо от форм собственности обязаны разрабатывать и принимать меры по предупреждению коррупции.</w:t>
            </w:r>
          </w:p>
          <w:p w:rsidR="001432CF" w:rsidRPr="001432CF" w:rsidRDefault="001432CF" w:rsidP="001432CF">
            <w:pPr>
              <w:ind w:firstLine="709"/>
              <w:jc w:val="center"/>
              <w:rPr>
                <w:rFonts w:ascii="Times New Roman" w:hAnsi="Times New Roman"/>
                <w:b/>
                <w:sz w:val="28"/>
                <w:szCs w:val="28"/>
                <w:lang w:val="ru-RU"/>
              </w:rPr>
            </w:pP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В соответствии со статьей 13.3 Федерального закона от 25.12.2008 № 273-ФЗ «О противодействии коррупции» (далее – Закон о противодействии коррупции) организации обязаны разрабатывать и принимать меры по предупреждению коррупции.</w:t>
            </w: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 xml:space="preserve">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w:t>
            </w:r>
            <w:r w:rsidRPr="001432CF">
              <w:rPr>
                <w:rFonts w:ascii="Times New Roman" w:hAnsi="Times New Roman"/>
                <w:sz w:val="28"/>
                <w:szCs w:val="28"/>
                <w:lang w:val="ru-RU"/>
              </w:rPr>
              <w:lastRenderedPageBreak/>
              <w:t>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w:t>
            </w:r>
            <w:proofErr w:type="gramEnd"/>
            <w:r w:rsidRPr="001432CF">
              <w:rPr>
                <w:rFonts w:ascii="Times New Roman" w:hAnsi="Times New Roman"/>
                <w:sz w:val="28"/>
                <w:szCs w:val="28"/>
                <w:lang w:val="ru-RU"/>
              </w:rPr>
              <w:t xml:space="preserve"> недопущение составления неофициальной отчетности и использования поддельных документов.</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Указом Президента Российской Федерации от 29.06.2018 № 378 утвержден Национальный план противодействия коррупции на 2018-2020 годы, поставлены задачи на ближайшие годы, которые необходимо решить в целях противодействия коррупции, и определены основные мероприятия, направленные на решение указанных задач в организациях.</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Национальный план противодействия коррупции определяет основной задачей реализацию требований статьи 13.3 Закона о противодействии коррупции, касающейся обязанности организаций принимать меры по предупреждению и противодействию коррупции, предусматривает формирование системы государственного </w:t>
            </w:r>
            <w:proofErr w:type="gramStart"/>
            <w:r w:rsidRPr="001432CF">
              <w:rPr>
                <w:rFonts w:ascii="Times New Roman" w:hAnsi="Times New Roman"/>
                <w:sz w:val="28"/>
                <w:szCs w:val="28"/>
                <w:lang w:val="ru-RU"/>
              </w:rPr>
              <w:t>контроля за</w:t>
            </w:r>
            <w:proofErr w:type="gramEnd"/>
            <w:r w:rsidRPr="001432CF">
              <w:rPr>
                <w:rFonts w:ascii="Times New Roman" w:hAnsi="Times New Roman"/>
                <w:sz w:val="28"/>
                <w:szCs w:val="28"/>
                <w:lang w:val="ru-RU"/>
              </w:rPr>
              <w:t xml:space="preserve"> реализацией антикоррупционной политики в негосударственном секторе.</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С целью формирования единого подхода к обеспечению работы по предупреждению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 утвержденные 08.11.2013 года (далее – Методические рекомендации).</w:t>
            </w: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Методические рекомендации предусматривают проведение работы по профилактике коррупционных и иных правонарушений для любых организаций, независимо от форм собственности, организационно-правовых форм, отраслевой принадлежности и других обстоятельств, а также предусматривают обязательное требование по разработке и принятию документа, который включает в себя комплекс взаимосвязанных принципов, процедур и конкретных мероприятий, а также иных локальных нормативных актов и методических материалов, направленных на профилактику и противодействие</w:t>
            </w:r>
            <w:proofErr w:type="gramEnd"/>
            <w:r w:rsidRPr="001432CF">
              <w:rPr>
                <w:rFonts w:ascii="Times New Roman" w:hAnsi="Times New Roman"/>
                <w:sz w:val="28"/>
                <w:szCs w:val="28"/>
                <w:lang w:val="ru-RU"/>
              </w:rPr>
              <w:t xml:space="preserve"> коррупционным правонарушениям в деятельности организации.</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Прокуратурой Убинского района на постоянной основе проводятся проверки полноты и </w:t>
            </w:r>
            <w:proofErr w:type="gramStart"/>
            <w:r w:rsidRPr="001432CF">
              <w:rPr>
                <w:rFonts w:ascii="Times New Roman" w:hAnsi="Times New Roman"/>
                <w:sz w:val="28"/>
                <w:szCs w:val="28"/>
                <w:lang w:val="ru-RU"/>
              </w:rPr>
              <w:t>эффективности</w:t>
            </w:r>
            <w:proofErr w:type="gramEnd"/>
            <w:r w:rsidRPr="001432CF">
              <w:rPr>
                <w:rFonts w:ascii="Times New Roman" w:hAnsi="Times New Roman"/>
                <w:sz w:val="28"/>
                <w:szCs w:val="28"/>
                <w:lang w:val="ru-RU"/>
              </w:rPr>
              <w:t xml:space="preserve"> принимаемых организациями мер по предупреждению коррупции, в результате которых установлено, что организациями  в большинстве случаев предусмотренная ст. 13.3 Закона о противодействии коррупции обязанность исполняется ненадлежащим образом, меры по предупреждению коррупции не принимаются либо принимаются не в полном объеме, мероприятия, предусмотренные Методическими рекомендациями, реализуются в недостаточной мере и не на системной основе.</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К числу типичных нарушений можно отнести </w:t>
            </w:r>
            <w:proofErr w:type="gramStart"/>
            <w:r w:rsidRPr="001432CF">
              <w:rPr>
                <w:rFonts w:ascii="Times New Roman" w:hAnsi="Times New Roman"/>
                <w:sz w:val="28"/>
                <w:szCs w:val="28"/>
                <w:lang w:val="ru-RU"/>
              </w:rPr>
              <w:t>следующие</w:t>
            </w:r>
            <w:proofErr w:type="gramEnd"/>
            <w:r w:rsidRPr="001432CF">
              <w:rPr>
                <w:rFonts w:ascii="Times New Roman" w:hAnsi="Times New Roman"/>
                <w:sz w:val="28"/>
                <w:szCs w:val="28"/>
                <w:lang w:val="ru-RU"/>
              </w:rPr>
              <w:t>.</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Большинство мероприятий, предусмотренных локальными актами, носят декларативный характер, предусмотренные такими актами обязанности не могут быть исполнены ввиду отсутствия механизма их реализации.</w:t>
            </w: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 xml:space="preserve">Например, положением об антикоррупционной политике одного из учреждений в перечень антикоррупционных мероприятий включены разработка и принятие Положения о конфликте интересов, которое в течение длительного времени не разрабатывалось и не принято, а нормы иных локальных актов учреждения не регламентируют в достаточной степени механизм информирования работниками работодателя о наличии личной заинтересованности при исполнении должностных обязанностей, о возникновении </w:t>
            </w:r>
            <w:r w:rsidRPr="001432CF">
              <w:rPr>
                <w:rFonts w:ascii="Times New Roman" w:hAnsi="Times New Roman"/>
                <w:sz w:val="28"/>
                <w:szCs w:val="28"/>
                <w:lang w:val="ru-RU"/>
              </w:rPr>
              <w:lastRenderedPageBreak/>
              <w:t>(возможности возникновения) конфликта интересов, порядок</w:t>
            </w:r>
            <w:proofErr w:type="gramEnd"/>
            <w:r w:rsidRPr="001432CF">
              <w:rPr>
                <w:rFonts w:ascii="Times New Roman" w:hAnsi="Times New Roman"/>
                <w:sz w:val="28"/>
                <w:szCs w:val="28"/>
                <w:lang w:val="ru-RU"/>
              </w:rPr>
              <w:t xml:space="preserve"> урегулирования возникшего у работника учреждения конфликта интересов.</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Такая регламентация должна предусматривать сроки, способы направления уведомления в соответствующую комиссию, порядок учета таких уведомлений, должностных лиц, ответственных за прием уведомлений.</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При создании комиссий по соблюдению требований к служебному поведению сотрудников и противодействию коррупции зачастую не определен порядок рассмотрения такой комиссией сообщений работников о наличии личной заинтересованности, о возможности возникновения конфликта интересов при исполнении должностных обязанностей.</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Имеет место толкование понятия «коррупция», которое не соответствует понятию, закрепленному в ст. 10 Закона о противодействии коррупции.</w:t>
            </w:r>
          </w:p>
          <w:p w:rsidR="001432CF" w:rsidRPr="001432CF" w:rsidRDefault="001432CF" w:rsidP="001432CF">
            <w:pPr>
              <w:ind w:firstLine="709"/>
              <w:jc w:val="both"/>
              <w:rPr>
                <w:rFonts w:ascii="Times New Roman" w:hAnsi="Times New Roman"/>
                <w:sz w:val="28"/>
                <w:szCs w:val="28"/>
                <w:lang w:val="ru-RU"/>
              </w:rPr>
            </w:pPr>
            <w:proofErr w:type="gramStart"/>
            <w:r w:rsidRPr="001432CF">
              <w:rPr>
                <w:rFonts w:ascii="Times New Roman" w:hAnsi="Times New Roman"/>
                <w:sz w:val="28"/>
                <w:szCs w:val="28"/>
                <w:lang w:val="ru-RU"/>
              </w:rPr>
              <w:t>Встречаются случаи, когда нельзя признать достаточным объем предусмотренных в трудовых договорах антикоррупционных обязанностей, поскольку ими не установлена обязанность работников учреждения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а также уведомлять работодателя обо всех случаях обращения к ним в целях склонения</w:t>
            </w:r>
            <w:proofErr w:type="gramEnd"/>
            <w:r w:rsidRPr="001432CF">
              <w:rPr>
                <w:rFonts w:ascii="Times New Roman" w:hAnsi="Times New Roman"/>
                <w:sz w:val="28"/>
                <w:szCs w:val="28"/>
                <w:lang w:val="ru-RU"/>
              </w:rPr>
              <w:t xml:space="preserve"> к совершению коррупционных правонарушений.</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Планы мероприятий по противодействию коррупции не содержат сроков исполнения, кроме этого, большинство мероприятий относятся к текущей деятельности учреждения, что позволяет сделать вывод о том, что конкретные мероприятия по противодействию коррупции не запланированы и не проводятся.</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Выявленные нарушения законодательства о противодействии коррупции создают препятствия в обеспечении достижения поставленных государством задач по предотвращению коррупционных правонарушений, а причинами и условиями, которые способствовали нарушению законодательства, являются ненадлежащее исполнение своих обязанностей работниками организаций, в </w:t>
            </w:r>
            <w:proofErr w:type="gramStart"/>
            <w:r w:rsidRPr="001432CF">
              <w:rPr>
                <w:rFonts w:ascii="Times New Roman" w:hAnsi="Times New Roman"/>
                <w:sz w:val="28"/>
                <w:szCs w:val="28"/>
                <w:lang w:val="ru-RU"/>
              </w:rPr>
              <w:t>связи</w:t>
            </w:r>
            <w:proofErr w:type="gramEnd"/>
            <w:r w:rsidRPr="001432CF">
              <w:rPr>
                <w:rFonts w:ascii="Times New Roman" w:hAnsi="Times New Roman"/>
                <w:sz w:val="28"/>
                <w:szCs w:val="28"/>
                <w:lang w:val="ru-RU"/>
              </w:rPr>
              <w:t xml:space="preserve"> с чем по требованию прокурора они могут быть привлечены к дисциплинарной ответственности.</w:t>
            </w:r>
          </w:p>
          <w:p w:rsidR="001432CF" w:rsidRPr="001432CF" w:rsidRDefault="001432CF" w:rsidP="001432CF">
            <w:pPr>
              <w:rPr>
                <w:rFonts w:ascii="Times New Roman" w:hAnsi="Times New Roman"/>
                <w:sz w:val="28"/>
                <w:szCs w:val="28"/>
                <w:lang w:val="ru-RU"/>
              </w:rPr>
            </w:pPr>
          </w:p>
          <w:p w:rsidR="001432CF" w:rsidRPr="001432CF" w:rsidRDefault="001432CF" w:rsidP="001432CF">
            <w:pPr>
              <w:rPr>
                <w:rFonts w:ascii="Times New Roman" w:hAnsi="Times New Roman"/>
                <w:sz w:val="28"/>
                <w:szCs w:val="28"/>
                <w:lang w:val="ru-RU"/>
              </w:rPr>
            </w:pPr>
            <w:r w:rsidRPr="001432CF">
              <w:rPr>
                <w:rFonts w:ascii="Times New Roman" w:hAnsi="Times New Roman"/>
                <w:sz w:val="28"/>
                <w:szCs w:val="28"/>
                <w:lang w:val="ru-RU"/>
              </w:rPr>
              <w:t xml:space="preserve">Помощник прокурора </w:t>
            </w:r>
            <w:proofErr w:type="spellStart"/>
            <w:r w:rsidRPr="001432CF">
              <w:rPr>
                <w:rFonts w:ascii="Times New Roman" w:hAnsi="Times New Roman"/>
                <w:sz w:val="28"/>
                <w:szCs w:val="28"/>
                <w:lang w:val="ru-RU"/>
              </w:rPr>
              <w:t>Мельцас</w:t>
            </w:r>
            <w:proofErr w:type="spellEnd"/>
            <w:r w:rsidRPr="001432CF">
              <w:rPr>
                <w:rFonts w:ascii="Times New Roman" w:hAnsi="Times New Roman"/>
                <w:sz w:val="28"/>
                <w:szCs w:val="28"/>
                <w:lang w:val="ru-RU"/>
              </w:rPr>
              <w:t xml:space="preserve"> Е.В.</w:t>
            </w:r>
          </w:p>
          <w:p w:rsidR="001432CF" w:rsidRPr="001432CF" w:rsidRDefault="001432CF" w:rsidP="001432CF">
            <w:pPr>
              <w:rPr>
                <w:rFonts w:ascii="Times New Roman" w:hAnsi="Times New Roman"/>
                <w:sz w:val="28"/>
                <w:szCs w:val="28"/>
                <w:lang w:val="ru-RU"/>
              </w:rPr>
            </w:pPr>
          </w:p>
          <w:p w:rsidR="001432CF" w:rsidRPr="001432CF" w:rsidRDefault="001432CF" w:rsidP="001432CF">
            <w:pPr>
              <w:ind w:firstLine="709"/>
              <w:jc w:val="both"/>
              <w:rPr>
                <w:rFonts w:ascii="Times New Roman" w:hAnsi="Times New Roman"/>
                <w:b/>
                <w:sz w:val="28"/>
                <w:szCs w:val="28"/>
                <w:lang w:val="ru-RU"/>
              </w:rPr>
            </w:pPr>
            <w:r w:rsidRPr="001432CF">
              <w:rPr>
                <w:rFonts w:ascii="Times New Roman" w:hAnsi="Times New Roman"/>
                <w:b/>
                <w:sz w:val="28"/>
                <w:szCs w:val="28"/>
                <w:lang w:val="ru-RU"/>
              </w:rPr>
              <w:t xml:space="preserve">Работники </w:t>
            </w:r>
            <w:proofErr w:type="spellStart"/>
            <w:r w:rsidRPr="001432CF">
              <w:rPr>
                <w:rFonts w:ascii="Times New Roman" w:hAnsi="Times New Roman"/>
                <w:b/>
                <w:sz w:val="28"/>
                <w:szCs w:val="28"/>
                <w:lang w:val="ru-RU"/>
              </w:rPr>
              <w:t>предпенсионного</w:t>
            </w:r>
            <w:proofErr w:type="spellEnd"/>
            <w:r w:rsidRPr="001432CF">
              <w:rPr>
                <w:rFonts w:ascii="Times New Roman" w:hAnsi="Times New Roman"/>
                <w:b/>
                <w:sz w:val="28"/>
                <w:szCs w:val="28"/>
                <w:lang w:val="ru-RU"/>
              </w:rPr>
              <w:t xml:space="preserve"> возраста.</w:t>
            </w:r>
          </w:p>
          <w:p w:rsidR="001432CF" w:rsidRPr="001432CF" w:rsidRDefault="001432CF" w:rsidP="001432CF">
            <w:pPr>
              <w:ind w:firstLine="709"/>
              <w:jc w:val="both"/>
              <w:rPr>
                <w:rFonts w:ascii="Times New Roman" w:hAnsi="Times New Roman"/>
                <w:b/>
                <w:sz w:val="28"/>
                <w:szCs w:val="28"/>
                <w:lang w:val="ru-RU"/>
              </w:rPr>
            </w:pP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С 2019 года под </w:t>
            </w:r>
            <w:proofErr w:type="spellStart"/>
            <w:r w:rsidRPr="001432CF">
              <w:rPr>
                <w:rFonts w:ascii="Times New Roman" w:hAnsi="Times New Roman"/>
                <w:sz w:val="28"/>
                <w:szCs w:val="28"/>
                <w:lang w:val="ru-RU"/>
              </w:rPr>
              <w:t>предпенсионным</w:t>
            </w:r>
            <w:proofErr w:type="spellEnd"/>
            <w:r w:rsidRPr="001432CF">
              <w:rPr>
                <w:rFonts w:ascii="Times New Roman" w:hAnsi="Times New Roman"/>
                <w:sz w:val="28"/>
                <w:szCs w:val="28"/>
                <w:lang w:val="ru-RU"/>
              </w:rPr>
              <w:t xml:space="preserve"> возрастом понимается период в течение пяти лет до наступления возраста, дающего право на страховую пенсию по старости, в том числе назначенную досрочно.</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С указанного года женщины выходят на пенсию с 60 лет, а мужчины с 65 лет. При этом установлен так называемый переходный период - 2019 - 2027 гг. В течение первых двух лет этого периода можно выйти на пенсию по старости на полгода раньше. Такое право есть у работников, которые </w:t>
            </w:r>
            <w:proofErr w:type="gramStart"/>
            <w:r w:rsidRPr="001432CF">
              <w:rPr>
                <w:rFonts w:ascii="Times New Roman" w:hAnsi="Times New Roman"/>
                <w:sz w:val="28"/>
                <w:szCs w:val="28"/>
                <w:lang w:val="ru-RU"/>
              </w:rPr>
              <w:t>достигнут пенсионного возраста по новому законодательству либо приобретут стаж для</w:t>
            </w:r>
            <w:proofErr w:type="gramEnd"/>
            <w:r w:rsidRPr="001432CF">
              <w:rPr>
                <w:rFonts w:ascii="Times New Roman" w:hAnsi="Times New Roman"/>
                <w:sz w:val="28"/>
                <w:szCs w:val="28"/>
                <w:lang w:val="ru-RU"/>
              </w:rPr>
              <w:t xml:space="preserve"> досрочного назначения пенсии (п. 3 ст. 10 Федерального закона от 03.10.2018 № 350-ФЗ «О внесении изменений в отдельные законодательные акты Российской Федерации по вопросам назначения и выплаты пенсий»).</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lastRenderedPageBreak/>
              <w:t>Появились у данной категории работников и льготы, так, по заявлению работников их необходимо освобождать от работы на два рабочих дня раз в год для прохождения диспансеризации. За эти дни им необходимо выплатить средний заработок, а также сохранить место работы.</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Конкретные дни освобождения от работы согласовываются с работодателем (гарантии установлены ч. 2 ст. 185.1 ТК РФ).</w:t>
            </w:r>
          </w:p>
          <w:p w:rsidR="001432CF" w:rsidRPr="001432CF" w:rsidRDefault="001432CF" w:rsidP="001432CF">
            <w:pPr>
              <w:ind w:firstLine="709"/>
              <w:jc w:val="both"/>
              <w:rPr>
                <w:rFonts w:ascii="Times New Roman" w:hAnsi="Times New Roman"/>
                <w:i/>
                <w:sz w:val="28"/>
                <w:szCs w:val="28"/>
                <w:lang w:val="ru-RU"/>
              </w:rPr>
            </w:pPr>
            <w:r w:rsidRPr="001432CF">
              <w:rPr>
                <w:rFonts w:ascii="Times New Roman" w:hAnsi="Times New Roman"/>
                <w:i/>
                <w:sz w:val="28"/>
                <w:szCs w:val="28"/>
                <w:lang w:val="ru-RU"/>
              </w:rPr>
              <w:t xml:space="preserve">Ответственность за нарушение трудовых прав работников </w:t>
            </w:r>
            <w:proofErr w:type="spellStart"/>
            <w:r w:rsidRPr="001432CF">
              <w:rPr>
                <w:rFonts w:ascii="Times New Roman" w:hAnsi="Times New Roman"/>
                <w:i/>
                <w:sz w:val="28"/>
                <w:szCs w:val="28"/>
                <w:lang w:val="ru-RU"/>
              </w:rPr>
              <w:t>предпенсионного</w:t>
            </w:r>
            <w:proofErr w:type="spellEnd"/>
            <w:r w:rsidRPr="001432CF">
              <w:rPr>
                <w:rFonts w:ascii="Times New Roman" w:hAnsi="Times New Roman"/>
                <w:i/>
                <w:sz w:val="28"/>
                <w:szCs w:val="28"/>
                <w:lang w:val="ru-RU"/>
              </w:rPr>
              <w:t xml:space="preserve"> возраста.</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При нарушении общего порядка увольнения, например при </w:t>
            </w:r>
            <w:r w:rsidRPr="001432CF">
              <w:rPr>
                <w:rFonts w:ascii="Times New Roman" w:hAnsi="Times New Roman"/>
                <w:sz w:val="28"/>
                <w:szCs w:val="28"/>
                <w:lang w:val="ru-RU"/>
              </w:rPr>
              <w:t>невыплате,</w:t>
            </w:r>
            <w:r w:rsidRPr="001432CF">
              <w:rPr>
                <w:rFonts w:ascii="Times New Roman" w:hAnsi="Times New Roman"/>
                <w:sz w:val="28"/>
                <w:szCs w:val="28"/>
                <w:lang w:val="ru-RU"/>
              </w:rPr>
              <w:t xml:space="preserve"> или нарушении срока выплаты работнику сумм, положенных при увольнении, работодатель может быть привлечен к административной ответственности по ст. 5.27 КоАП РФ (если эти действия не содержат уголовно наказуемого деяния в соответствии со ст. 145.1 УК РФ).</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 xml:space="preserve">За необоснованное увольнение работников в связи с достижением </w:t>
            </w:r>
            <w:proofErr w:type="spellStart"/>
            <w:r w:rsidRPr="001432CF">
              <w:rPr>
                <w:rFonts w:ascii="Times New Roman" w:hAnsi="Times New Roman"/>
                <w:sz w:val="28"/>
                <w:szCs w:val="28"/>
                <w:lang w:val="ru-RU"/>
              </w:rPr>
              <w:t>предпенсионного</w:t>
            </w:r>
            <w:proofErr w:type="spellEnd"/>
            <w:r w:rsidRPr="001432CF">
              <w:rPr>
                <w:rFonts w:ascii="Times New Roman" w:hAnsi="Times New Roman"/>
                <w:sz w:val="28"/>
                <w:szCs w:val="28"/>
                <w:lang w:val="ru-RU"/>
              </w:rPr>
              <w:t xml:space="preserve"> возраста предусмотрена уголовная ответственность по ст. 144.1 УК РФ. Данная ответственность также наступает, если работодатель вынудил работника подать заявление об увольнении по собственному желанию в связи с </w:t>
            </w:r>
            <w:proofErr w:type="spellStart"/>
            <w:r w:rsidRPr="001432CF">
              <w:rPr>
                <w:rFonts w:ascii="Times New Roman" w:hAnsi="Times New Roman"/>
                <w:sz w:val="28"/>
                <w:szCs w:val="28"/>
                <w:lang w:val="ru-RU"/>
              </w:rPr>
              <w:t>предпенсионным</w:t>
            </w:r>
            <w:proofErr w:type="spellEnd"/>
            <w:r w:rsidRPr="001432CF">
              <w:rPr>
                <w:rFonts w:ascii="Times New Roman" w:hAnsi="Times New Roman"/>
                <w:sz w:val="28"/>
                <w:szCs w:val="28"/>
                <w:lang w:val="ru-RU"/>
              </w:rPr>
              <w:t xml:space="preserve"> возрастом и уволил его по п. 3 ч. 1 ст. 77 ТК РФ (п. 16 Постановления Пленума Верховного Суда РФ от 25.12.2018 № 46). Кроме того, аналогичная ответственность предусмотрена за необоснованный отказ в приеме на работу такой категории граждан.</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В случае наступления уголовной ответственности по ст. 144.1 УК РФ руководителю организации или работнику, уполномоченному принимать и увольнять сотрудников, могут назначить штраф в размере до 200 тыс. руб. или в размере заработной платы (иного дохода) осужденного за период до 18 месяцев; обязательные работы на срок до 360 ч.</w:t>
            </w:r>
          </w:p>
          <w:p w:rsidR="001432CF" w:rsidRPr="001432CF" w:rsidRDefault="001432CF" w:rsidP="001432CF">
            <w:pPr>
              <w:ind w:firstLine="709"/>
              <w:jc w:val="both"/>
              <w:rPr>
                <w:rFonts w:ascii="Times New Roman" w:hAnsi="Times New Roman"/>
                <w:sz w:val="28"/>
                <w:szCs w:val="28"/>
                <w:lang w:val="ru-RU"/>
              </w:rPr>
            </w:pPr>
            <w:r w:rsidRPr="001432CF">
              <w:rPr>
                <w:rFonts w:ascii="Times New Roman" w:hAnsi="Times New Roman"/>
                <w:sz w:val="28"/>
                <w:szCs w:val="28"/>
                <w:lang w:val="ru-RU"/>
              </w:rPr>
              <w:t>Запрет на необоснованный отказ в приеме на работу, в том числе из-за возраста соискателя, установлен ст. 64 ТК РФ. Работодатель обязан сообщить причину отказа в письменной форме, если соискатель этого потребует. Ответ необходимо дать в течение 7 рабочих дней (ч. 5 ст. 64 ТК РФ).</w:t>
            </w:r>
          </w:p>
          <w:p w:rsidR="001432CF" w:rsidRDefault="001432CF" w:rsidP="001432CF">
            <w:pPr>
              <w:rPr>
                <w:rFonts w:ascii="Times New Roman" w:hAnsi="Times New Roman"/>
                <w:sz w:val="28"/>
                <w:szCs w:val="28"/>
                <w:lang w:val="ru-RU"/>
              </w:rPr>
            </w:pPr>
          </w:p>
          <w:p w:rsidR="001432CF" w:rsidRPr="001432CF" w:rsidRDefault="001432CF" w:rsidP="001432CF">
            <w:pPr>
              <w:rPr>
                <w:rFonts w:ascii="Times New Roman" w:hAnsi="Times New Roman"/>
                <w:sz w:val="28"/>
                <w:szCs w:val="28"/>
                <w:lang w:val="ru-RU"/>
              </w:rPr>
            </w:pPr>
            <w:r w:rsidRPr="001432CF">
              <w:rPr>
                <w:rFonts w:ascii="Times New Roman" w:hAnsi="Times New Roman"/>
                <w:sz w:val="28"/>
                <w:szCs w:val="28"/>
                <w:lang w:val="ru-RU"/>
              </w:rPr>
              <w:t xml:space="preserve">Помощник прокурора </w:t>
            </w:r>
            <w:proofErr w:type="spellStart"/>
            <w:r w:rsidRPr="001432CF">
              <w:rPr>
                <w:rFonts w:ascii="Times New Roman" w:hAnsi="Times New Roman"/>
                <w:sz w:val="28"/>
                <w:szCs w:val="28"/>
                <w:lang w:val="ru-RU"/>
              </w:rPr>
              <w:t>Мельцас</w:t>
            </w:r>
            <w:proofErr w:type="spellEnd"/>
            <w:r w:rsidRPr="001432CF">
              <w:rPr>
                <w:rFonts w:ascii="Times New Roman" w:hAnsi="Times New Roman"/>
                <w:sz w:val="28"/>
                <w:szCs w:val="28"/>
                <w:lang w:val="ru-RU"/>
              </w:rPr>
              <w:t xml:space="preserve"> Е.В.</w:t>
            </w:r>
          </w:p>
          <w:p w:rsidR="001432CF" w:rsidRDefault="001432CF" w:rsidP="00114FF6">
            <w:pPr>
              <w:jc w:val="center"/>
              <w:rPr>
                <w:rFonts w:ascii="Times New Roman" w:hAnsi="Times New Roman"/>
                <w:b/>
                <w:sz w:val="28"/>
                <w:szCs w:val="28"/>
                <w:lang w:val="ru-RU"/>
              </w:rPr>
            </w:pPr>
          </w:p>
          <w:p w:rsidR="001432CF" w:rsidRDefault="001432CF" w:rsidP="00114FF6">
            <w:pPr>
              <w:jc w:val="center"/>
              <w:rPr>
                <w:rFonts w:ascii="Times New Roman" w:hAnsi="Times New Roman"/>
                <w:b/>
                <w:sz w:val="28"/>
                <w:szCs w:val="28"/>
                <w:lang w:val="ru-RU"/>
              </w:rPr>
            </w:pPr>
          </w:p>
          <w:p w:rsidR="001432CF" w:rsidRDefault="001432CF" w:rsidP="00114FF6">
            <w:pPr>
              <w:jc w:val="center"/>
              <w:rPr>
                <w:rFonts w:ascii="Times New Roman" w:hAnsi="Times New Roman"/>
                <w:b/>
                <w:sz w:val="28"/>
                <w:szCs w:val="28"/>
                <w:lang w:val="ru-RU"/>
              </w:rPr>
            </w:pPr>
          </w:p>
          <w:p w:rsidR="001432CF" w:rsidRDefault="001432CF" w:rsidP="00114FF6">
            <w:pPr>
              <w:jc w:val="center"/>
              <w:rPr>
                <w:rFonts w:ascii="Times New Roman" w:hAnsi="Times New Roman"/>
                <w:b/>
                <w:sz w:val="28"/>
                <w:szCs w:val="28"/>
                <w:lang w:val="ru-RU"/>
              </w:rPr>
            </w:pPr>
          </w:p>
          <w:p w:rsidR="001E727F" w:rsidRPr="001E727F" w:rsidRDefault="001E727F" w:rsidP="001E727F">
            <w:pPr>
              <w:tabs>
                <w:tab w:val="left" w:pos="7290"/>
              </w:tabs>
              <w:rPr>
                <w:rFonts w:ascii="Times New Roman" w:hAnsi="Times New Roman"/>
                <w:sz w:val="28"/>
                <w:szCs w:val="28"/>
                <w:lang w:val="ru-RU"/>
              </w:rPr>
            </w:pPr>
            <w:r w:rsidRPr="001E727F">
              <w:rPr>
                <w:rFonts w:ascii="Times New Roman" w:hAnsi="Times New Roman"/>
                <w:sz w:val="28"/>
                <w:szCs w:val="28"/>
                <w:lang w:val="ru-RU"/>
              </w:rPr>
              <w:tab/>
            </w:r>
          </w:p>
          <w:p w:rsidR="001E727F" w:rsidRPr="001E727F" w:rsidRDefault="001E727F" w:rsidP="001E727F">
            <w:pPr>
              <w:tabs>
                <w:tab w:val="left" w:pos="7290"/>
              </w:tabs>
              <w:rPr>
                <w:rFonts w:ascii="Times New Roman" w:hAnsi="Times New Roman"/>
                <w:sz w:val="28"/>
                <w:szCs w:val="28"/>
                <w:lang w:val="ru-RU"/>
              </w:rPr>
            </w:pPr>
          </w:p>
          <w:p w:rsidR="001E727F" w:rsidRPr="001E727F" w:rsidRDefault="001E727F" w:rsidP="001E727F">
            <w:pPr>
              <w:tabs>
                <w:tab w:val="left" w:pos="7290"/>
              </w:tabs>
              <w:rPr>
                <w:rFonts w:ascii="Times New Roman" w:hAnsi="Times New Roman"/>
                <w:sz w:val="28"/>
                <w:szCs w:val="28"/>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AA7439" w:rsidRDefault="00AA7439" w:rsidP="009C6E8B">
            <w:pPr>
              <w:jc w:val="both"/>
              <w:rPr>
                <w:lang w:val="ru-RU"/>
              </w:rPr>
            </w:pPr>
          </w:p>
          <w:p w:rsidR="001E727F" w:rsidRDefault="001E727F" w:rsidP="009C6E8B">
            <w:pPr>
              <w:jc w:val="both"/>
              <w:rPr>
                <w:lang w:val="ru-RU"/>
              </w:rPr>
            </w:pPr>
            <w:bookmarkStart w:id="0" w:name="_GoBack"/>
            <w:bookmarkEnd w:id="0"/>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87" w:rsidRDefault="00745287" w:rsidP="00374DD2">
      <w:r>
        <w:separator/>
      </w:r>
    </w:p>
  </w:endnote>
  <w:endnote w:type="continuationSeparator" w:id="0">
    <w:p w:rsidR="00745287" w:rsidRDefault="0074528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87" w:rsidRDefault="00745287" w:rsidP="00374DD2">
      <w:r>
        <w:separator/>
      </w:r>
    </w:p>
  </w:footnote>
  <w:footnote w:type="continuationSeparator" w:id="0">
    <w:p w:rsidR="00745287" w:rsidRDefault="0074528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11"/>
  </w:num>
  <w:num w:numId="13">
    <w:abstractNumId w:val="5"/>
  </w:num>
  <w:num w:numId="14">
    <w:abstractNumId w:val="7"/>
  </w:num>
  <w:num w:numId="15">
    <w:abstractNumId w:val="8"/>
  </w:num>
  <w:num w:numId="16">
    <w:abstractNumId w:val="16"/>
  </w:num>
  <w:num w:numId="17">
    <w:abstractNumId w:val="19"/>
  </w:num>
  <w:num w:numId="18">
    <w:abstractNumId w:val="12"/>
  </w:num>
  <w:num w:numId="19">
    <w:abstractNumId w:val="23"/>
  </w:num>
  <w:num w:numId="20">
    <w:abstractNumId w:val="6"/>
  </w:num>
  <w:num w:numId="21">
    <w:abstractNumId w:val="18"/>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5113C"/>
    <w:rsid w:val="0007547E"/>
    <w:rsid w:val="00083B7D"/>
    <w:rsid w:val="000B28DB"/>
    <w:rsid w:val="000D48AB"/>
    <w:rsid w:val="000F11E9"/>
    <w:rsid w:val="00114FF6"/>
    <w:rsid w:val="00121F58"/>
    <w:rsid w:val="001432CF"/>
    <w:rsid w:val="001471E5"/>
    <w:rsid w:val="00153627"/>
    <w:rsid w:val="00171D45"/>
    <w:rsid w:val="00174B00"/>
    <w:rsid w:val="001A779D"/>
    <w:rsid w:val="001B16C9"/>
    <w:rsid w:val="001C05A6"/>
    <w:rsid w:val="001E727F"/>
    <w:rsid w:val="001E76E1"/>
    <w:rsid w:val="00222C9C"/>
    <w:rsid w:val="00226E18"/>
    <w:rsid w:val="00232699"/>
    <w:rsid w:val="00251D8A"/>
    <w:rsid w:val="00257BF1"/>
    <w:rsid w:val="00267789"/>
    <w:rsid w:val="002A75EA"/>
    <w:rsid w:val="002B3A04"/>
    <w:rsid w:val="002D00D4"/>
    <w:rsid w:val="0030432D"/>
    <w:rsid w:val="00312B83"/>
    <w:rsid w:val="00337108"/>
    <w:rsid w:val="00366933"/>
    <w:rsid w:val="00370337"/>
    <w:rsid w:val="00374DD2"/>
    <w:rsid w:val="003C04F4"/>
    <w:rsid w:val="003E67F6"/>
    <w:rsid w:val="004C1D2B"/>
    <w:rsid w:val="004C5D92"/>
    <w:rsid w:val="00511DBD"/>
    <w:rsid w:val="00527F07"/>
    <w:rsid w:val="0054687B"/>
    <w:rsid w:val="00552D11"/>
    <w:rsid w:val="00572797"/>
    <w:rsid w:val="005A25DA"/>
    <w:rsid w:val="005B492B"/>
    <w:rsid w:val="005D0D0C"/>
    <w:rsid w:val="005E1F66"/>
    <w:rsid w:val="005E6A61"/>
    <w:rsid w:val="005F255B"/>
    <w:rsid w:val="00623240"/>
    <w:rsid w:val="00633454"/>
    <w:rsid w:val="00635ACD"/>
    <w:rsid w:val="006443F8"/>
    <w:rsid w:val="00657110"/>
    <w:rsid w:val="006611F7"/>
    <w:rsid w:val="0066417A"/>
    <w:rsid w:val="00681424"/>
    <w:rsid w:val="006A03F3"/>
    <w:rsid w:val="006E29F8"/>
    <w:rsid w:val="007354B8"/>
    <w:rsid w:val="00745287"/>
    <w:rsid w:val="007527C0"/>
    <w:rsid w:val="007602CE"/>
    <w:rsid w:val="00783384"/>
    <w:rsid w:val="007E687E"/>
    <w:rsid w:val="007E6F1B"/>
    <w:rsid w:val="007F32EC"/>
    <w:rsid w:val="00812162"/>
    <w:rsid w:val="00847C4E"/>
    <w:rsid w:val="008504F0"/>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6A6D"/>
    <w:rsid w:val="00AA7439"/>
    <w:rsid w:val="00AB3E37"/>
    <w:rsid w:val="00AB5206"/>
    <w:rsid w:val="00AD293C"/>
    <w:rsid w:val="00AE33D4"/>
    <w:rsid w:val="00B02B1F"/>
    <w:rsid w:val="00B338D5"/>
    <w:rsid w:val="00B564D4"/>
    <w:rsid w:val="00B82A50"/>
    <w:rsid w:val="00BA135A"/>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5B62"/>
    <w:rsid w:val="00DD21D1"/>
    <w:rsid w:val="00DD266D"/>
    <w:rsid w:val="00DF212C"/>
    <w:rsid w:val="00DF4838"/>
    <w:rsid w:val="00E05781"/>
    <w:rsid w:val="00E14B9C"/>
    <w:rsid w:val="00E430CD"/>
    <w:rsid w:val="00E46AC3"/>
    <w:rsid w:val="00E50DA3"/>
    <w:rsid w:val="00E6367B"/>
    <w:rsid w:val="00E81177"/>
    <w:rsid w:val="00EA3980"/>
    <w:rsid w:val="00EA767B"/>
    <w:rsid w:val="00ED10E6"/>
    <w:rsid w:val="00EF6492"/>
    <w:rsid w:val="00F17024"/>
    <w:rsid w:val="00F246F4"/>
    <w:rsid w:val="00F375E8"/>
    <w:rsid w:val="00F43C91"/>
    <w:rsid w:val="00F47210"/>
    <w:rsid w:val="00F47A7E"/>
    <w:rsid w:val="00F50AF3"/>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1655</TotalTime>
  <Pages>1</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2019-03-11T02:11:00Z</cp:lastPrinted>
  <dcterms:created xsi:type="dcterms:W3CDTF">2018-06-14T04:09:00Z</dcterms:created>
  <dcterms:modified xsi:type="dcterms:W3CDTF">2019-04-05T03:44:00Z</dcterms:modified>
</cp:coreProperties>
</file>